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8C8" w:rsidRPr="00725A70" w:rsidRDefault="00F548C8" w:rsidP="00C85658">
      <w:pPr>
        <w:spacing w:after="0" w:line="240" w:lineRule="auto"/>
        <w:rPr>
          <w:b/>
          <w:bCs/>
          <w:color w:val="C00000"/>
          <w:sz w:val="32"/>
          <w:szCs w:val="32"/>
        </w:rPr>
      </w:pPr>
      <w:r w:rsidRPr="0050169A">
        <w:rPr>
          <w:b/>
          <w:bCs/>
          <w:color w:val="C00000"/>
          <w:sz w:val="32"/>
          <w:szCs w:val="32"/>
        </w:rPr>
        <w:t>T</w:t>
      </w:r>
      <w:bookmarkStart w:id="0" w:name="_Hlk34905484"/>
      <w:r w:rsidRPr="0050169A">
        <w:rPr>
          <w:b/>
          <w:bCs/>
          <w:color w:val="C00000"/>
          <w:sz w:val="32"/>
          <w:szCs w:val="32"/>
        </w:rPr>
        <w:t>heme</w:t>
      </w:r>
      <w:bookmarkEnd w:id="0"/>
      <w:r w:rsidRPr="0050169A">
        <w:rPr>
          <w:b/>
          <w:bCs/>
          <w:color w:val="C00000"/>
          <w:sz w:val="32"/>
          <w:szCs w:val="32"/>
        </w:rPr>
        <w:t>nbereiche</w:t>
      </w:r>
    </w:p>
    <w:p w:rsidR="00C85658" w:rsidRDefault="00C85658" w:rsidP="00F548C8">
      <w:pPr>
        <w:spacing w:after="0" w:line="240" w:lineRule="auto"/>
        <w:rPr>
          <w:i/>
          <w:iCs/>
        </w:rPr>
      </w:pPr>
    </w:p>
    <w:p w:rsidR="00F548C8" w:rsidRPr="00752ECC" w:rsidRDefault="00F548C8" w:rsidP="00F548C8">
      <w:pPr>
        <w:spacing w:after="0" w:line="240" w:lineRule="auto"/>
        <w:rPr>
          <w:i/>
          <w:iCs/>
        </w:rPr>
      </w:pPr>
      <w:r w:rsidRPr="00752ECC">
        <w:rPr>
          <w:i/>
          <w:iCs/>
        </w:rPr>
        <w:t>Die Inhalte und Schlagworte folgender Themen können als Grundlage zur Beantwortung von Prüfungsfragen und Referaten aus der Chemie herangezogen werden.</w:t>
      </w:r>
    </w:p>
    <w:p w:rsidR="00F548C8" w:rsidRPr="00752ECC" w:rsidRDefault="00F548C8" w:rsidP="00F548C8">
      <w:pPr>
        <w:spacing w:after="0" w:line="240" w:lineRule="auto"/>
        <w:rPr>
          <w:b/>
          <w:bCs/>
          <w:i/>
          <w:iCs/>
          <w:sz w:val="28"/>
          <w:szCs w:val="28"/>
        </w:rPr>
      </w:pPr>
    </w:p>
    <w:p w:rsidR="00F548C8" w:rsidRPr="0050169A" w:rsidRDefault="00F548C8" w:rsidP="00F548C8">
      <w:pPr>
        <w:spacing w:after="0" w:line="240" w:lineRule="auto"/>
        <w:rPr>
          <w:b/>
          <w:bCs/>
          <w:color w:val="C00000"/>
          <w:sz w:val="24"/>
          <w:szCs w:val="24"/>
        </w:rPr>
      </w:pPr>
      <w:r w:rsidRPr="0050169A">
        <w:rPr>
          <w:b/>
          <w:bCs/>
          <w:color w:val="C00000"/>
          <w:sz w:val="24"/>
          <w:szCs w:val="24"/>
        </w:rPr>
        <w:t>1 Atombau und Periodensystem der Elemente</w:t>
      </w:r>
    </w:p>
    <w:p w:rsidR="00F548C8" w:rsidRDefault="00F548C8" w:rsidP="00F548C8">
      <w:pPr>
        <w:spacing w:after="0" w:line="240" w:lineRule="auto"/>
        <w:rPr>
          <w:b/>
          <w:bCs/>
          <w:sz w:val="24"/>
          <w:szCs w:val="24"/>
        </w:rPr>
      </w:pPr>
    </w:p>
    <w:p w:rsidR="00F548C8" w:rsidRPr="00F548C8" w:rsidRDefault="00F548C8" w:rsidP="00F548C8">
      <w:pPr>
        <w:spacing w:after="0" w:line="240" w:lineRule="auto"/>
        <w:rPr>
          <w:b/>
          <w:bCs/>
        </w:rPr>
      </w:pPr>
      <w:r w:rsidRPr="00F548C8">
        <w:rPr>
          <w:b/>
          <w:bCs/>
        </w:rPr>
        <w:t>Die Grundlagen des Atombaues</w:t>
      </w:r>
    </w:p>
    <w:p w:rsidR="00F548C8" w:rsidRPr="00F548C8" w:rsidRDefault="00F548C8" w:rsidP="00F548C8">
      <w:pPr>
        <w:spacing w:after="0" w:line="240" w:lineRule="auto"/>
      </w:pPr>
      <w:r w:rsidRPr="00F548C8">
        <w:t>Aufbau nach dem Kern-Hülle-Modell, Charakterisierung der Elementarteilchen, Ordnungszahl, Massenzahl, Nuklid, Element,</w:t>
      </w:r>
      <w:r>
        <w:t xml:space="preserve"> </w:t>
      </w:r>
      <w:r w:rsidRPr="00F548C8">
        <w:t>Isotope, Beschreibung der Elektronenhülle</w:t>
      </w:r>
    </w:p>
    <w:p w:rsidR="00F548C8" w:rsidRDefault="00F548C8" w:rsidP="00F548C8">
      <w:pPr>
        <w:spacing w:after="0" w:line="240" w:lineRule="auto"/>
      </w:pPr>
    </w:p>
    <w:p w:rsidR="00F548C8" w:rsidRPr="00F548C8" w:rsidRDefault="00F548C8" w:rsidP="00F548C8">
      <w:pPr>
        <w:spacing w:after="0" w:line="240" w:lineRule="auto"/>
        <w:rPr>
          <w:b/>
          <w:bCs/>
        </w:rPr>
      </w:pPr>
      <w:r w:rsidRPr="00F548C8">
        <w:rPr>
          <w:b/>
          <w:bCs/>
        </w:rPr>
        <w:t>Der Aufbau der Elektronenhülle</w:t>
      </w:r>
    </w:p>
    <w:p w:rsidR="00F548C8" w:rsidRDefault="00F548C8" w:rsidP="00F548C8">
      <w:pPr>
        <w:spacing w:after="0" w:line="240" w:lineRule="auto"/>
      </w:pPr>
      <w:r w:rsidRPr="00F548C8">
        <w:t>Charakterisierung der Quantenzahlen, Pauli-Ausschließungsprinzip, Anwendung für die einzelnen Perioden im PSE, Abweichungen</w:t>
      </w:r>
      <w:r>
        <w:t xml:space="preserve"> </w:t>
      </w:r>
      <w:r w:rsidRPr="00F548C8">
        <w:t>ab der 4. Periode (4s- Zustand ist energieärmer als der 3d- Zustand), Elektronenkonfiguration anhand von Beispielen,</w:t>
      </w:r>
      <w:r>
        <w:t xml:space="preserve"> </w:t>
      </w:r>
      <w:r w:rsidRPr="00F548C8">
        <w:t>Definition von Valenzelektronen, Hund´sche Regel, Lewisschreibweise</w:t>
      </w:r>
    </w:p>
    <w:p w:rsidR="00F548C8" w:rsidRPr="00F548C8" w:rsidRDefault="00F548C8" w:rsidP="00F548C8">
      <w:pPr>
        <w:spacing w:after="0" w:line="240" w:lineRule="auto"/>
      </w:pPr>
    </w:p>
    <w:p w:rsidR="00F548C8" w:rsidRPr="00F548C8" w:rsidRDefault="00F548C8" w:rsidP="00F548C8">
      <w:pPr>
        <w:spacing w:after="0" w:line="240" w:lineRule="auto"/>
        <w:rPr>
          <w:b/>
          <w:bCs/>
        </w:rPr>
      </w:pPr>
      <w:r w:rsidRPr="00F548C8">
        <w:rPr>
          <w:b/>
          <w:bCs/>
        </w:rPr>
        <w:t>Die Atomspektren</w:t>
      </w:r>
    </w:p>
    <w:p w:rsidR="00F548C8" w:rsidRDefault="00F548C8" w:rsidP="00F548C8">
      <w:pPr>
        <w:spacing w:after="0" w:line="240" w:lineRule="auto"/>
      </w:pPr>
      <w:r w:rsidRPr="00F548C8">
        <w:t>Ablauf von Anregung und Rücksprung, Grundzustand und angeregte Zustände, Emissions- und Absorptionsspektren, Flammenfärbung</w:t>
      </w:r>
      <w:r>
        <w:t xml:space="preserve"> </w:t>
      </w:r>
      <w:r w:rsidRPr="00F548C8">
        <w:t>und Fluoreszenz</w:t>
      </w:r>
    </w:p>
    <w:p w:rsidR="00F548C8" w:rsidRPr="00F548C8" w:rsidRDefault="00F548C8" w:rsidP="00F548C8">
      <w:pPr>
        <w:spacing w:after="0" w:line="240" w:lineRule="auto"/>
      </w:pPr>
    </w:p>
    <w:p w:rsidR="00F548C8" w:rsidRPr="00F548C8" w:rsidRDefault="00F548C8" w:rsidP="00F548C8">
      <w:pPr>
        <w:spacing w:after="0" w:line="240" w:lineRule="auto"/>
        <w:rPr>
          <w:b/>
          <w:bCs/>
        </w:rPr>
      </w:pPr>
      <w:r w:rsidRPr="00F548C8">
        <w:rPr>
          <w:b/>
          <w:bCs/>
        </w:rPr>
        <w:t>Das Periodensystem der Elemente</w:t>
      </w:r>
    </w:p>
    <w:p w:rsidR="00F548C8" w:rsidRDefault="00F548C8" w:rsidP="00F548C8">
      <w:pPr>
        <w:spacing w:after="0" w:line="240" w:lineRule="auto"/>
      </w:pPr>
      <w:r w:rsidRPr="00F548C8">
        <w:t>Historische Entwicklung Meyer/Mendelejeff, Zusammenhang zwischen Atombau und PSE, Ordnungs</w:t>
      </w:r>
      <w:r w:rsidR="00152040">
        <w:softHyphen/>
      </w:r>
      <w:r w:rsidRPr="00F548C8">
        <w:t>zahl, Periodenlänge durch</w:t>
      </w:r>
      <w:r>
        <w:t xml:space="preserve"> </w:t>
      </w:r>
      <w:r w:rsidRPr="00F548C8">
        <w:t>Elektronenhülle, s-, p-, d- und f-Block, einzelne charakteristische Gruppen</w:t>
      </w:r>
    </w:p>
    <w:p w:rsidR="00F548C8" w:rsidRPr="00F548C8" w:rsidRDefault="00F548C8" w:rsidP="00F548C8">
      <w:pPr>
        <w:spacing w:after="0" w:line="240" w:lineRule="auto"/>
      </w:pPr>
    </w:p>
    <w:p w:rsidR="00F548C8" w:rsidRPr="00F548C8" w:rsidRDefault="00F548C8" w:rsidP="00F548C8">
      <w:pPr>
        <w:spacing w:after="0" w:line="240" w:lineRule="auto"/>
        <w:rPr>
          <w:b/>
          <w:bCs/>
        </w:rPr>
      </w:pPr>
      <w:r w:rsidRPr="00F548C8">
        <w:rPr>
          <w:b/>
          <w:bCs/>
        </w:rPr>
        <w:t>Radioaktivität</w:t>
      </w:r>
    </w:p>
    <w:p w:rsidR="00F548C8" w:rsidRPr="00F548C8" w:rsidRDefault="00F548C8" w:rsidP="00F548C8">
      <w:pPr>
        <w:spacing w:after="0" w:line="240" w:lineRule="auto"/>
      </w:pPr>
      <w:r w:rsidRPr="00F548C8">
        <w:t>Kernbindungskraft, Charakterisierung der radioaktiven Strahlung, Beispiele für α-,β- und γ-</w:t>
      </w:r>
      <w:bookmarkStart w:id="1" w:name="_GoBack"/>
      <w:bookmarkEnd w:id="1"/>
      <w:r w:rsidRPr="00F548C8">
        <w:t>Strahler, Zerfallsgeschwindigkeit</w:t>
      </w:r>
      <w:r>
        <w:t xml:space="preserve"> </w:t>
      </w:r>
      <w:r w:rsidRPr="00F548C8">
        <w:t>und Halbwertszeit, natürliche Zerfallsreihen, Anwendung der radioaktiven Strahlung</w:t>
      </w:r>
    </w:p>
    <w:p w:rsidR="00F548C8" w:rsidRDefault="00F548C8" w:rsidP="00F548C8">
      <w:pPr>
        <w:spacing w:after="0" w:line="240" w:lineRule="auto"/>
      </w:pPr>
    </w:p>
    <w:p w:rsidR="00F548C8" w:rsidRPr="0050169A" w:rsidRDefault="000156C5" w:rsidP="00F548C8">
      <w:pPr>
        <w:spacing w:after="0" w:line="240" w:lineRule="auto"/>
        <w:rPr>
          <w:b/>
          <w:bCs/>
          <w:color w:val="C00000"/>
          <w:sz w:val="24"/>
          <w:szCs w:val="24"/>
        </w:rPr>
      </w:pPr>
      <w:r w:rsidRPr="0050169A">
        <w:rPr>
          <w:b/>
          <w:bCs/>
          <w:color w:val="C00000"/>
          <w:sz w:val="24"/>
          <w:szCs w:val="24"/>
        </w:rPr>
        <w:t>2</w:t>
      </w:r>
      <w:r w:rsidR="00216F4C" w:rsidRPr="0050169A">
        <w:rPr>
          <w:b/>
          <w:bCs/>
          <w:color w:val="C00000"/>
          <w:sz w:val="24"/>
          <w:szCs w:val="24"/>
        </w:rPr>
        <w:t xml:space="preserve"> </w:t>
      </w:r>
      <w:r w:rsidRPr="0050169A">
        <w:rPr>
          <w:b/>
          <w:bCs/>
          <w:color w:val="C00000"/>
          <w:sz w:val="24"/>
          <w:szCs w:val="24"/>
        </w:rPr>
        <w:t>Die chemische Bindung</w:t>
      </w:r>
    </w:p>
    <w:p w:rsidR="000156C5" w:rsidRDefault="000156C5" w:rsidP="00F548C8">
      <w:pPr>
        <w:spacing w:after="0" w:line="240" w:lineRule="auto"/>
        <w:rPr>
          <w:b/>
          <w:bCs/>
          <w:sz w:val="24"/>
          <w:szCs w:val="24"/>
        </w:rPr>
      </w:pPr>
    </w:p>
    <w:p w:rsidR="000156C5" w:rsidRPr="000156C5" w:rsidRDefault="000156C5" w:rsidP="000156C5">
      <w:pPr>
        <w:spacing w:after="0" w:line="240" w:lineRule="auto"/>
        <w:rPr>
          <w:b/>
          <w:bCs/>
        </w:rPr>
      </w:pPr>
      <w:r w:rsidRPr="000156C5">
        <w:rPr>
          <w:b/>
          <w:bCs/>
        </w:rPr>
        <w:t>Vergleich der Bindungsmodelle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Beschreibung der Bindungskraft, Bildung von Molekül bzw. Gitter, mögliche Formelschreibweisen, Beispiele, Eigenschaften,</w:t>
      </w:r>
      <w:r>
        <w:t xml:space="preserve"> </w:t>
      </w:r>
      <w:r w:rsidRPr="000156C5">
        <w:t>die sich aufgrund des Bindungsmodells ergeben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spacing w:after="0" w:line="240" w:lineRule="auto"/>
        <w:rPr>
          <w:b/>
          <w:bCs/>
        </w:rPr>
      </w:pPr>
      <w:r w:rsidRPr="000156C5">
        <w:rPr>
          <w:b/>
          <w:bCs/>
        </w:rPr>
        <w:t>Das Atombindungsmodell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Grundprinzip des Modells, Summen- und Strukturformel, Hybridisierung, koordinative Bindung, Mesomerie, räumlicher Bau</w:t>
      </w:r>
      <w:r>
        <w:t xml:space="preserve"> </w:t>
      </w:r>
      <w:r w:rsidRPr="000156C5">
        <w:t>(VSEPR-Modell), polare und unpolare Verbindungen, Nebenvalenzkräfte, Eigenschaften, Beispiele, Atomgitter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Polare und unpolare Verbindungen</w:t>
      </w:r>
    </w:p>
    <w:p w:rsidR="000156C5" w:rsidRPr="00725A70" w:rsidRDefault="000156C5" w:rsidP="000156C5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0156C5">
        <w:t xml:space="preserve">Grundprinzip des Atombindungsmodells, VSEPR-Modell, Elektronegativität, Beispiele </w:t>
      </w:r>
      <w:r w:rsidRPr="00725A70">
        <w:rPr>
          <w:i/>
          <w:iCs/>
        </w:rPr>
        <w:t>(diese Frage lässt sich sehr gut mit Beispielen aus der organischen Chemie verknüpfen)</w:t>
      </w:r>
    </w:p>
    <w:p w:rsidR="000156C5" w:rsidRDefault="000156C5" w:rsidP="000156C5">
      <w:pPr>
        <w:spacing w:after="0" w:line="240" w:lineRule="auto"/>
        <w:rPr>
          <w:b/>
          <w:bCs/>
        </w:rPr>
      </w:pPr>
    </w:p>
    <w:p w:rsidR="000156C5" w:rsidRPr="000156C5" w:rsidRDefault="000156C5" w:rsidP="000156C5">
      <w:pPr>
        <w:spacing w:after="0" w:line="240" w:lineRule="auto"/>
        <w:rPr>
          <w:b/>
          <w:bCs/>
        </w:rPr>
      </w:pPr>
      <w:r w:rsidRPr="000156C5">
        <w:rPr>
          <w:b/>
          <w:bCs/>
        </w:rPr>
        <w:t>Atomgitter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Beschreibung des Diamant- und Grafitgitters, Darstellung der unterschiedlichen Eigenschaften aufgrund der unterschiedlichen</w:t>
      </w:r>
      <w:r>
        <w:t xml:space="preserve"> </w:t>
      </w:r>
      <w:r w:rsidRPr="000156C5">
        <w:t>Bindung, Quarzgitter (Vergleich mit dem gasförmigen Kohlenstoff</w:t>
      </w:r>
      <w:r w:rsidR="00725A70">
        <w:softHyphen/>
      </w:r>
      <w:r w:rsidRPr="000156C5">
        <w:t>dioxid)</w:t>
      </w:r>
    </w:p>
    <w:p w:rsidR="000156C5" w:rsidRDefault="000156C5" w:rsidP="000156C5">
      <w:pPr>
        <w:spacing w:after="0" w:line="240" w:lineRule="auto"/>
        <w:rPr>
          <w:b/>
          <w:bCs/>
        </w:rPr>
      </w:pPr>
    </w:p>
    <w:p w:rsidR="000156C5" w:rsidRPr="000156C5" w:rsidRDefault="000156C5" w:rsidP="000156C5">
      <w:pPr>
        <w:spacing w:after="0" w:line="240" w:lineRule="auto"/>
        <w:rPr>
          <w:b/>
          <w:bCs/>
        </w:rPr>
      </w:pPr>
      <w:r w:rsidRPr="000156C5">
        <w:rPr>
          <w:b/>
          <w:bCs/>
        </w:rPr>
        <w:t>Wasser</w:t>
      </w:r>
    </w:p>
    <w:p w:rsidR="000156C5" w:rsidRPr="00C85658" w:rsidRDefault="000156C5" w:rsidP="000156C5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0156C5">
        <w:t xml:space="preserve">Bindungsverhältnisse, Dipolmolekül, Wasserstoffbrücke, Anomalie des Wassers, Wasser als Lösungsmittel. </w:t>
      </w:r>
      <w:r w:rsidRPr="00C85658">
        <w:rPr>
          <w:i/>
          <w:iCs/>
        </w:rPr>
        <w:t>(Im Kapitel 4 wird Wasser auch als Säure bzw. Base und als Reduktions- und Oxidationsmittel beschrieben. Kapitel 6.4 befasst sich ausschließlich mit Wasser</w:t>
      </w:r>
      <w:r w:rsidR="00C85658">
        <w:rPr>
          <w:i/>
          <w:iCs/>
        </w:rPr>
        <w:t>.</w:t>
      </w:r>
      <w:r w:rsidRPr="00C85658">
        <w:rPr>
          <w:i/>
          <w:iCs/>
        </w:rPr>
        <w:t>)</w:t>
      </w:r>
    </w:p>
    <w:p w:rsidR="000156C5" w:rsidRDefault="000156C5" w:rsidP="000156C5">
      <w:pPr>
        <w:spacing w:after="0" w:line="240" w:lineRule="auto"/>
        <w:rPr>
          <w:b/>
          <w:bCs/>
        </w:rPr>
      </w:pPr>
    </w:p>
    <w:p w:rsidR="00631723" w:rsidRDefault="00631723" w:rsidP="000156C5">
      <w:pPr>
        <w:spacing w:after="0" w:line="240" w:lineRule="auto"/>
        <w:rPr>
          <w:b/>
          <w:bCs/>
        </w:rPr>
      </w:pPr>
    </w:p>
    <w:p w:rsidR="000156C5" w:rsidRPr="000156C5" w:rsidRDefault="00C85658" w:rsidP="000156C5">
      <w:pPr>
        <w:spacing w:after="0" w:line="240" w:lineRule="auto"/>
        <w:rPr>
          <w:b/>
          <w:bCs/>
        </w:rPr>
      </w:pPr>
      <w:r>
        <w:rPr>
          <w:b/>
          <w:bCs/>
        </w:rPr>
        <w:br w:type="column"/>
      </w:r>
      <w:r w:rsidR="000156C5" w:rsidRPr="000156C5">
        <w:rPr>
          <w:b/>
          <w:bCs/>
        </w:rPr>
        <w:lastRenderedPageBreak/>
        <w:t>Die Ionenbindung</w:t>
      </w:r>
    </w:p>
    <w:p w:rsidR="000156C5" w:rsidRPr="00725A70" w:rsidRDefault="000156C5" w:rsidP="000156C5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0156C5">
        <w:t>Bindungsmodell, Energiediagramm für die Bildung einer Ionenverbindung, Beispiele (auch mit mehr</w:t>
      </w:r>
      <w:r w:rsidR="00152040">
        <w:softHyphen/>
      </w:r>
      <w:r w:rsidRPr="000156C5">
        <w:t>atomigen Ionen), Eigenschaften</w:t>
      </w:r>
      <w:r>
        <w:t xml:space="preserve"> </w:t>
      </w:r>
      <w:r w:rsidRPr="000156C5">
        <w:t xml:space="preserve">– Wasserlöslichkeit (Hydrathülle, Kristallwasser), Leitfähigkeit. </w:t>
      </w:r>
      <w:r w:rsidRPr="00725A70">
        <w:rPr>
          <w:i/>
          <w:iCs/>
        </w:rPr>
        <w:t>(Im Kapitel 4.3 wird die Elektrolyse ausführlicher beschrieben. Informationen über wichtige Salze findet man im Kapitel 5 zB: Soda und Kalk.)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spacing w:after="0" w:line="240" w:lineRule="auto"/>
        <w:rPr>
          <w:b/>
          <w:bCs/>
        </w:rPr>
      </w:pPr>
      <w:r w:rsidRPr="000156C5">
        <w:rPr>
          <w:b/>
          <w:bCs/>
        </w:rPr>
        <w:t>Die Metallbindung</w:t>
      </w:r>
    </w:p>
    <w:p w:rsidR="000156C5" w:rsidRPr="00725A70" w:rsidRDefault="000156C5" w:rsidP="000156C5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0156C5">
        <w:t>Bindungsmodell, mögliche Gitterstrukturen, Eigenschaften</w:t>
      </w:r>
      <w:r>
        <w:t xml:space="preserve"> </w:t>
      </w:r>
      <w:r w:rsidRPr="00725A70">
        <w:rPr>
          <w:i/>
          <w:iCs/>
        </w:rPr>
        <w:t>(spezielle Metalle werden im Kapitel 5.7, 7.2 und 7.3 besprochen. Metalle als Reduktionsmittel werden im Kapitel 4 besprochen.)</w:t>
      </w:r>
    </w:p>
    <w:p w:rsidR="00F548C8" w:rsidRDefault="00F548C8" w:rsidP="00F548C8">
      <w:pPr>
        <w:spacing w:after="0" w:line="240" w:lineRule="auto"/>
      </w:pPr>
    </w:p>
    <w:p w:rsidR="000156C5" w:rsidRPr="00725A70" w:rsidRDefault="000156C5" w:rsidP="000156C5">
      <w:pPr>
        <w:spacing w:after="0" w:line="240" w:lineRule="auto"/>
        <w:rPr>
          <w:b/>
          <w:bCs/>
          <w:color w:val="C00000"/>
          <w:sz w:val="24"/>
          <w:szCs w:val="24"/>
        </w:rPr>
      </w:pPr>
      <w:r w:rsidRPr="00725A70">
        <w:rPr>
          <w:b/>
          <w:bCs/>
          <w:color w:val="C00000"/>
          <w:sz w:val="24"/>
          <w:szCs w:val="24"/>
        </w:rPr>
        <w:t>3 Die chemische Reaktion</w:t>
      </w:r>
    </w:p>
    <w:p w:rsidR="000156C5" w:rsidRDefault="000156C5" w:rsidP="000156C5">
      <w:pPr>
        <w:spacing w:after="0" w:line="240" w:lineRule="auto"/>
        <w:rPr>
          <w:b/>
          <w:bCs/>
          <w:sz w:val="24"/>
          <w:szCs w:val="24"/>
        </w:rPr>
      </w:pP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Die chemische Schreibweise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 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Stöchiometrische Berechnung (Beispiele)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 xml:space="preserve">Bedeutung des Rechnens in der Chemie, Molbegriff, </w:t>
      </w:r>
      <w:r w:rsidRPr="000156C5">
        <w:rPr>
          <w:i/>
          <w:iCs/>
        </w:rPr>
        <w:t xml:space="preserve">m = M </w:t>
      </w:r>
      <w:r>
        <w:rPr>
          <w:rFonts w:cstheme="minorHAnsi"/>
          <w:i/>
          <w:iCs/>
        </w:rPr>
        <w:t>·</w:t>
      </w:r>
      <w:r w:rsidRPr="000156C5">
        <w:rPr>
          <w:i/>
          <w:iCs/>
        </w:rPr>
        <w:t xml:space="preserve"> n</w:t>
      </w:r>
      <w:r w:rsidRPr="000156C5">
        <w:t>, Erläuterung anhand eines Beispiels (3</w:t>
      </w:r>
      <w:r w:rsidR="00725A70">
        <w:t>-</w:t>
      </w:r>
      <w:r w:rsidRPr="000156C5">
        <w:t>Schritte</w:t>
      </w:r>
      <w:r w:rsidR="00725A70">
        <w:t>-</w:t>
      </w:r>
      <w:r w:rsidRPr="000156C5">
        <w:t>Programm)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Konzentration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Vergleich der Konzentrationsmaße, Erläuterungen anhand von Beispielen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Gasgesetze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Definition für ein ideales Gas, Gesetz von Avogadro, Gasdichtevergleich aufgrund der Molmasse, allgemeines Gasgesetz, Erläuterung anhand</w:t>
      </w:r>
      <w:r>
        <w:t xml:space="preserve"> </w:t>
      </w:r>
      <w:r w:rsidRPr="000156C5">
        <w:t>von Beispielen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Thermochemie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Enthalpie, Standardbildungsenthalpie, exotherm, endotherm, Entropie, freie Enthalpie, exergon, endergon, Erläuterung anhand von Beispielen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Fossile Rohstoffe im Überblick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Die fossilen Rohstoffe Kohle, Erdöl und Erdgas. Bedeutung für den Energiesektor und als Rohstoffe für die chemische Industrie. Die Exploration</w:t>
      </w:r>
      <w:r>
        <w:t xml:space="preserve"> </w:t>
      </w:r>
      <w:r w:rsidRPr="000156C5">
        <w:t>und die unterschiedlichen Gewinnungsmethoden dieser wichtigen Rohstoffe und die Vorkommen dieser Rohstoffe auf der Erde.</w:t>
      </w:r>
      <w:r>
        <w:t xml:space="preserve"> </w:t>
      </w:r>
      <w:r w:rsidRPr="000156C5">
        <w:t>Die wichtigsten Verwen</w:t>
      </w:r>
      <w:r w:rsidR="00152040">
        <w:softHyphen/>
      </w:r>
      <w:r w:rsidRPr="000156C5">
        <w:t>dungs</w:t>
      </w:r>
      <w:r w:rsidR="00152040">
        <w:softHyphen/>
      </w:r>
      <w:r w:rsidRPr="000156C5">
        <w:t>möglichkeiten für den Energiesektor und die chemische Industrie. Produkte aus den Rohstoffen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Erdölverarbeitung – Erdölprodukte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Die Verarbeitung von Rohöl in der Raffinerie zu den Produkten Benzin, Kerosin, Dieselöl, Heizöle, Schmieröle und Bitumen. Primär- und</w:t>
      </w:r>
      <w:r>
        <w:t xml:space="preserve"> </w:t>
      </w:r>
      <w:r w:rsidRPr="000156C5">
        <w:t>Sekundär-Destillation. Anpassung des zu hohen Anteils an langkettigen Komponenten des Rohöls an den Bedarf. Erklärung des Begriffs</w:t>
      </w:r>
      <w:r>
        <w:t xml:space="preserve"> </w:t>
      </w:r>
      <w:r w:rsidRPr="000156C5">
        <w:t>Oktanzahl, Methoden zur Oktanzahlerhöhung. Entschwefelungsmethoden für die Produkte der Raffinerien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0156C5">
        <w:rPr>
          <w:b/>
          <w:bCs/>
        </w:rPr>
        <w:t>Treibstoffe unserer Zeit</w:t>
      </w:r>
    </w:p>
    <w:p w:rsidR="000156C5" w:rsidRP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Die Treibstoffe Benzin, Kerosin und Dieselkraftstoff, ihre Gewinnung aus dem Rohöl und ihre unterschiedlichen Einsatzgebiete. Qualitätskriterien</w:t>
      </w:r>
      <w:r>
        <w:t xml:space="preserve"> </w:t>
      </w:r>
      <w:r w:rsidRPr="000156C5">
        <w:t>für die Treibstoffe wie Octanzahl, CFPP, Cetanzahl. Methoden zur Erhöhung der Treibstoffausbeute aus Rohöl und zur Verbesserung</w:t>
      </w:r>
    </w:p>
    <w:p w:rsidR="000156C5" w:rsidRDefault="000156C5" w:rsidP="000156C5">
      <w:pPr>
        <w:autoSpaceDE w:val="0"/>
        <w:autoSpaceDN w:val="0"/>
        <w:adjustRightInd w:val="0"/>
        <w:spacing w:after="0" w:line="240" w:lineRule="auto"/>
      </w:pPr>
      <w:r w:rsidRPr="000156C5">
        <w:t>der Treibstoffqualität in der Raffinerie. Ansätze zur teilweisen Verwendung nachwachsender Rohstoffe in der Treibstoffherstellung (Bioethanol,</w:t>
      </w:r>
      <w:r>
        <w:t xml:space="preserve"> </w:t>
      </w:r>
      <w:r w:rsidRPr="000156C5">
        <w:t>Bio-Diesel)</w:t>
      </w:r>
    </w:p>
    <w:p w:rsidR="0011391F" w:rsidRDefault="0011391F" w:rsidP="000156C5">
      <w:pPr>
        <w:autoSpaceDE w:val="0"/>
        <w:autoSpaceDN w:val="0"/>
        <w:adjustRightInd w:val="0"/>
        <w:spacing w:after="0" w:line="240" w:lineRule="auto"/>
      </w:pPr>
    </w:p>
    <w:p w:rsidR="0011391F" w:rsidRPr="00725A70" w:rsidRDefault="0011391F" w:rsidP="000156C5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725A70">
        <w:rPr>
          <w:b/>
          <w:bCs/>
          <w:color w:val="C00000"/>
          <w:sz w:val="24"/>
          <w:szCs w:val="24"/>
        </w:rPr>
        <w:t>4 Das chemische Gleichgewicht</w:t>
      </w:r>
    </w:p>
    <w:p w:rsidR="000156C5" w:rsidRDefault="000156C5" w:rsidP="00F548C8">
      <w:pPr>
        <w:spacing w:after="0" w:line="240" w:lineRule="auto"/>
      </w:pP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1391F">
        <w:rPr>
          <w:b/>
          <w:bCs/>
        </w:rPr>
        <w:t>Das chemische Gleichgewicht</w:t>
      </w:r>
    </w:p>
    <w:p w:rsidR="0011391F" w:rsidRDefault="0011391F" w:rsidP="0011391F">
      <w:pPr>
        <w:autoSpaceDE w:val="0"/>
        <w:autoSpaceDN w:val="0"/>
        <w:adjustRightInd w:val="0"/>
        <w:spacing w:after="0" w:line="240" w:lineRule="auto"/>
      </w:pPr>
      <w:r w:rsidRPr="0011391F">
        <w:t xml:space="preserve">Phänomen „Gleichgewicht“, Reaktionsgeschwindigkeit, Herleiten des Massenwirkungsgesetzes, Gleichgewichtskonstante </w:t>
      </w:r>
      <w:r w:rsidRPr="0011391F">
        <w:rPr>
          <w:i/>
          <w:iCs/>
        </w:rPr>
        <w:t>K</w:t>
      </w:r>
      <w:r w:rsidRPr="0011391F">
        <w:t>,</w:t>
      </w:r>
      <w:r>
        <w:t xml:space="preserve"> </w:t>
      </w:r>
      <w:r w:rsidRPr="0011391F">
        <w:t xml:space="preserve">Größe von </w:t>
      </w:r>
      <w:r w:rsidRPr="0011391F">
        <w:rPr>
          <w:i/>
          <w:iCs/>
        </w:rPr>
        <w:t>K</w:t>
      </w:r>
      <w:r w:rsidRPr="0011391F">
        <w:t>, Beeinflussung der Gleichgewichtslage</w:t>
      </w: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</w:pPr>
    </w:p>
    <w:p w:rsidR="0011391F" w:rsidRPr="0011391F" w:rsidRDefault="00C85658" w:rsidP="001139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br w:type="column"/>
      </w:r>
      <w:r w:rsidR="0011391F" w:rsidRPr="0011391F">
        <w:rPr>
          <w:b/>
          <w:bCs/>
        </w:rPr>
        <w:lastRenderedPageBreak/>
        <w:t>Beeinflussung der Gleichgewichtslage</w:t>
      </w:r>
    </w:p>
    <w:p w:rsidR="0011391F" w:rsidRDefault="0011391F" w:rsidP="0011391F">
      <w:pPr>
        <w:autoSpaceDE w:val="0"/>
        <w:autoSpaceDN w:val="0"/>
        <w:adjustRightInd w:val="0"/>
        <w:spacing w:after="0" w:line="240" w:lineRule="auto"/>
      </w:pPr>
      <w:r w:rsidRPr="0011391F">
        <w:t xml:space="preserve">Phänomen „Gleichgewicht“, Prinzip von Le Chatelier, Anwendung anhand von Beispielen </w:t>
      </w:r>
      <w:r w:rsidRPr="00C85658">
        <w:rPr>
          <w:i/>
          <w:iCs/>
        </w:rPr>
        <w:t>(Kapitel 5.2 Haber-Bosch-Verfahren, 5.7 Boudouard-Gleichgewicht)</w:t>
      </w:r>
      <w:r w:rsidRPr="0011391F">
        <w:t>, Methanolsynthese aus der organischen Chemie</w:t>
      </w: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</w:pP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1391F">
        <w:rPr>
          <w:b/>
          <w:bCs/>
        </w:rPr>
        <w:t>Die Löslichkeit von Salzen</w:t>
      </w:r>
    </w:p>
    <w:p w:rsidR="0011391F" w:rsidRDefault="0011391F" w:rsidP="0011391F">
      <w:pPr>
        <w:autoSpaceDE w:val="0"/>
        <w:autoSpaceDN w:val="0"/>
        <w:adjustRightInd w:val="0"/>
        <w:spacing w:after="0" w:line="240" w:lineRule="auto"/>
      </w:pPr>
      <w:r w:rsidRPr="0011391F">
        <w:t>Beschreibung des Lösungsvorgangs (Hydrathülle), Unterschied zwischen Löslichkeit und Löslichkeits</w:t>
      </w:r>
      <w:r w:rsidR="00152040">
        <w:softHyphen/>
      </w:r>
      <w:r w:rsidRPr="0011391F">
        <w:t>produkt (chemisches</w:t>
      </w:r>
      <w:r>
        <w:t xml:space="preserve"> </w:t>
      </w:r>
      <w:r w:rsidRPr="0011391F">
        <w:t>Gleichgewicht), Auswirkungen eines gleichionigen Zusatzes, Berechnungs</w:t>
      </w:r>
      <w:r w:rsidR="00152040">
        <w:softHyphen/>
      </w:r>
      <w:r w:rsidRPr="0011391F">
        <w:t>bei</w:t>
      </w:r>
      <w:r w:rsidR="00152040">
        <w:softHyphen/>
      </w:r>
      <w:r w:rsidRPr="0011391F">
        <w:t>spiele, Fällungsreaktionen</w:t>
      </w: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</w:pPr>
    </w:p>
    <w:p w:rsidR="0011391F" w:rsidRPr="0011391F" w:rsidRDefault="0011391F" w:rsidP="0011391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11391F">
        <w:rPr>
          <w:b/>
          <w:bCs/>
        </w:rPr>
        <w:t>Eigenschaften, Herstellung und Verwendung von Ammoniak</w:t>
      </w:r>
    </w:p>
    <w:p w:rsidR="000156C5" w:rsidRDefault="0011391F" w:rsidP="0011391F">
      <w:pPr>
        <w:autoSpaceDE w:val="0"/>
        <w:autoSpaceDN w:val="0"/>
        <w:adjustRightInd w:val="0"/>
        <w:spacing w:after="0" w:line="240" w:lineRule="auto"/>
      </w:pPr>
      <w:r w:rsidRPr="0011391F">
        <w:t>Eigenschaften von Ammoniak, Verwendung und Bedeutung von Ammoniak als technischer Rohstoff, Herstellung von Ammoniak</w:t>
      </w:r>
      <w:r>
        <w:t xml:space="preserve"> </w:t>
      </w:r>
      <w:r w:rsidRPr="0011391F">
        <w:t>nach dem Haber-Bosch-Verfahren, ausgehend von Erdgas und Wasser. Diskussion der Probleme beim Herstellungsverfahren.</w:t>
      </w:r>
      <w:r>
        <w:t xml:space="preserve"> </w:t>
      </w:r>
      <w:r w:rsidRPr="0011391F">
        <w:t>Rohstoff zur Herstellung von Düngemitteln</w:t>
      </w:r>
    </w:p>
    <w:p w:rsidR="0011391F" w:rsidRDefault="0011391F" w:rsidP="0011391F">
      <w:pPr>
        <w:autoSpaceDE w:val="0"/>
        <w:autoSpaceDN w:val="0"/>
        <w:adjustRightInd w:val="0"/>
        <w:spacing w:after="0" w:line="240" w:lineRule="auto"/>
      </w:pPr>
    </w:p>
    <w:p w:rsidR="0011391F" w:rsidRPr="00C85658" w:rsidRDefault="003D0437" w:rsidP="0011391F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C85658">
        <w:rPr>
          <w:b/>
          <w:bCs/>
          <w:color w:val="C00000"/>
          <w:sz w:val="24"/>
          <w:szCs w:val="24"/>
        </w:rPr>
        <w:t>5 Säure-Base-Reaktion</w:t>
      </w:r>
    </w:p>
    <w:p w:rsidR="003D0437" w:rsidRDefault="003D0437" w:rsidP="0011391F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Grundlagen der Säure-Base-Theorie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Grunddefinition von Säure, Base und Protolysenreaktionen mit Beispielen, Bedeutung von stark und schwach, Säure- und Basenkonstante</w:t>
      </w:r>
      <w:r>
        <w:t xml:space="preserve"> </w:t>
      </w:r>
      <w:r w:rsidRPr="003D0437">
        <w:t>(chemisches Gleichgewicht), Bedeutung des Ampholyts Wasser, Autoprotolyse, Ionenprodukt des Wassers, Arbeiten</w:t>
      </w:r>
      <w:r>
        <w:t xml:space="preserve"> </w:t>
      </w:r>
      <w:r w:rsidRPr="003D0437">
        <w:t>mit der p</w:t>
      </w:r>
      <w:r w:rsidRPr="003D0437">
        <w:rPr>
          <w:i/>
          <w:iCs/>
        </w:rPr>
        <w:t>W</w:t>
      </w:r>
      <w:r w:rsidRPr="003D0437">
        <w:rPr>
          <w:vertAlign w:val="subscript"/>
        </w:rPr>
        <w:t>A</w:t>
      </w:r>
      <w:r w:rsidRPr="003D0437">
        <w:t>–Tabelle, Beispiele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Der pH-Wert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Definition (mathematisch und phänomenologisch), Berechnung des pH-Wertes, Herleiten der vereinfachten Formeln für die</w:t>
      </w:r>
      <w:r>
        <w:t xml:space="preserve"> </w:t>
      </w:r>
      <w:r w:rsidRPr="003D0437">
        <w:t>Berechnung des pH-Wertes bei starken Säuren bzw. Basen und bei schwachen Säuren bzw. Basen, Beispiele, Messung des pH</w:t>
      </w:r>
      <w:r w:rsidR="00725A70">
        <w:t>-</w:t>
      </w:r>
      <w:r w:rsidRPr="003D0437">
        <w:t>Wertes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Pufferlösungen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Zusammensetzung einer Pufferlösung, konjugierter Puffer, pH-Wert einer Pufferlösung, Änderung des pH-Wertes bei Zugabe</w:t>
      </w:r>
      <w:r>
        <w:t xml:space="preserve"> </w:t>
      </w:r>
      <w:r w:rsidRPr="003D0437">
        <w:t>einer starken Säure bzw. starken Base, Beispiele und Berechnungen, wichtige Puffersysteme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Titration und Diskussion der Titrationskurven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Beschreibung der Methode und der verwendeten Geräte, pH-Wertverlauf im Zuge einer Titration, Wahl des Indikators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Eigenschaften, Herstellung und Verwendung von Salpetersäure</w:t>
      </w:r>
    </w:p>
    <w:p w:rsidR="003D0437" w:rsidRPr="00C85658" w:rsidRDefault="003D0437" w:rsidP="003D0437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3D0437">
        <w:t>Eigenschaften der Salpetersäure, Verwendung und Bedeutung der Salpetersäure als technischer Rohstoff, Herstellung von Salpetersäure</w:t>
      </w:r>
      <w:r>
        <w:t xml:space="preserve"> </w:t>
      </w:r>
      <w:r w:rsidRPr="003D0437">
        <w:t xml:space="preserve">nach dem Ostwald-Verfahren. Diskussion der Probleme beim Herstellungsverfahren. </w:t>
      </w:r>
      <w:r w:rsidRPr="00C85658">
        <w:rPr>
          <w:i/>
          <w:iCs/>
        </w:rPr>
        <w:t>(Diese Frage kann auch mit Inhalten der organischen Chemie, zB Salpetersäureestern, verknüpft werden.)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Eigenschaften, Herstellung und Verwendung von Schwefelsäure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  <w:rPr>
          <w:rFonts w:ascii="PoloMatheAustriaBuch" w:hAnsi="PoloMatheAustriaBuch" w:cs="PoloMatheAustriaBuch"/>
          <w:color w:val="000000"/>
          <w:sz w:val="19"/>
          <w:szCs w:val="19"/>
          <w:lang w:val="de-DE"/>
        </w:rPr>
      </w:pPr>
      <w:r w:rsidRPr="003D0437">
        <w:t>Eigenschaften der Schwefelsäure, Verwendung und Bedeutung der Schwefelsäure als technischer Rohstoff, Herstellung von</w:t>
      </w:r>
      <w:r>
        <w:t xml:space="preserve"> </w:t>
      </w:r>
      <w:r w:rsidRPr="003D0437">
        <w:t>Schwefelsäure nach dem Kontaktverfahren. Diskussion der Probleme beim Herstellungsverfahren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  <w:rPr>
          <w:rFonts w:ascii="PoloMatheAustriaBuch" w:hAnsi="PoloMatheAustriaBuch" w:cs="PoloMatheAustriaBuch"/>
          <w:color w:val="000000"/>
          <w:sz w:val="19"/>
          <w:szCs w:val="19"/>
          <w:lang w:val="de-DE"/>
        </w:rPr>
      </w:pPr>
    </w:p>
    <w:p w:rsidR="003D0437" w:rsidRPr="00C85658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C85658">
        <w:rPr>
          <w:b/>
          <w:bCs/>
          <w:color w:val="C00000"/>
          <w:sz w:val="24"/>
          <w:szCs w:val="24"/>
        </w:rPr>
        <w:t>6 Redox-Reaktion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Grundlagen der Redox-Reaktionen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Definition der Begriffe Reduktion, Oxidation, Reduktionsmittel und Oxidationsmittel, Oxidationszahl, Aufstellen von Redoxgleichungen,</w:t>
      </w:r>
      <w:r>
        <w:t xml:space="preserve"> </w:t>
      </w:r>
      <w:r w:rsidRPr="003D0437">
        <w:t>Beispiele</w:t>
      </w:r>
    </w:p>
    <w:p w:rsidR="003D0437" w:rsidRPr="00C85658" w:rsidRDefault="003D0437" w:rsidP="003D0437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C85658">
        <w:rPr>
          <w:i/>
          <w:iCs/>
        </w:rPr>
        <w:t>(Diese Frage kann auch mit Inhalten aus der organischen Chemie erweitert werden zB: Oxidation der Alkohole, biochemische Oxidationsvorgänge)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631723" w:rsidRDefault="00631723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93E84" w:rsidRDefault="00193E84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lastRenderedPageBreak/>
        <w:t>Die Spannungsreihe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Definition der Begriffe Einzelpotenzial und Potenzialdifferenz, Beschreibung eines Daniell-Elements und der Standwasserstoffelektrode;</w:t>
      </w:r>
      <w:r>
        <w:t xml:space="preserve"> </w:t>
      </w:r>
      <w:r w:rsidRPr="003D0437">
        <w:t>Diskussion der Vorzeichengebung bei den tabellierten Standard</w:t>
      </w:r>
      <w:r w:rsidR="00152040">
        <w:softHyphen/>
      </w:r>
      <w:r w:rsidRPr="003D0437">
        <w:t>potentialen, Arbeiten mit der Spannungsreihe, Beispiele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Die Elektrolyse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Definition der Begriffe Elektrode (Anode, Katode), Elektrolyt, Zersetzungsspannung, Überspannung; Reaktion des Lösungsmittels</w:t>
      </w:r>
      <w:r>
        <w:t xml:space="preserve"> </w:t>
      </w:r>
      <w:r w:rsidRPr="003D0437">
        <w:t>Wasser, Bedeutung der Schmelzflusselektrolyse, Faraday-Gesetz, großtechnische Elektrolyseprozesse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Eisen und Stahl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Wichtige Eisenerze, Hochofenprozess, Alternativen zum Hochofen, Stahlerzeugung nach dem LD-Verfahren, Elektrostahlverfahren,</w:t>
      </w:r>
      <w:r>
        <w:t xml:space="preserve"> </w:t>
      </w:r>
      <w:r w:rsidRPr="003D0437">
        <w:t>Verwendung von Stahl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Aluminium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Bayer-Verfahren, Schmelzflusselektrolyse, Eigenschaften und Verwendung von Aluminium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725A70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725A70">
        <w:rPr>
          <w:b/>
          <w:bCs/>
          <w:color w:val="C00000"/>
          <w:sz w:val="24"/>
          <w:szCs w:val="24"/>
        </w:rPr>
        <w:t>7 Organische Chemie – Kohlenwasserstoffe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Die Strukturformel in der organischen Chemie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Notwendigkeit von Strukturschreibweisen statt Summenformeln, Strukturisomerie, Strukturformel und Bindungswinkel, verkürzte</w:t>
      </w:r>
      <w:r w:rsidR="00382E1F">
        <w:t xml:space="preserve"> </w:t>
      </w:r>
      <w:r w:rsidRPr="003D0437">
        <w:t>Strukturschreibweisen, Skelettformeln (Kurzschreibweise). Veran</w:t>
      </w:r>
      <w:r w:rsidR="00152040">
        <w:softHyphen/>
      </w:r>
      <w:r w:rsidRPr="003D0437">
        <w:t>schaulichung der Ausführungen mit Molekülmodellen (Kugel-Stäbchen-Modelle, Kalottenmodelle)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Alkane, Alkene, Alkine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Bindungsverhältnisse – Hybridisierung, Bindungswinkel, Drehbarkeit. Nomenklaturregeln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Isomerie in der organischen Chemie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Erklärung der Isomeriearten anhand selbstgewählter Beispiele. Erläuterung der zur Unterscheidung der Isomeren notwendigen Strukturschreibweisen</w:t>
      </w:r>
      <w:r w:rsidR="00382E1F">
        <w:t xml:space="preserve"> </w:t>
      </w:r>
      <w:r w:rsidRPr="003D0437">
        <w:t>und Nomenklaturregeln</w:t>
      </w:r>
      <w:r w:rsidR="00382E1F">
        <w:t xml:space="preserve"> </w:t>
      </w:r>
      <w:r w:rsidRPr="003D0437">
        <w:t>Veranschaulichung der Ausführungen mit Molekülmodellen (Kugel-Stäbchen-Modelle, Kalottenmodelle)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Alkene, Diene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Bindungsverhältnisse: Doppelbindung im Hybridisierungsmodell, isolierte, konjugierte und kumulierte Diene im Hybridisierungsmodell.</w:t>
      </w:r>
      <w:r w:rsidR="00382E1F">
        <w:t xml:space="preserve"> </w:t>
      </w:r>
      <w:r w:rsidRPr="003D0437">
        <w:t>E/Z Isomerie, Nomenklatur. Addition als wichtigste Reaktion dieser Stoffklasse. 1,2- und 1,4-Addition bei konjugierten Dienen. Beispiele</w:t>
      </w:r>
      <w:r w:rsidR="00382E1F">
        <w:t xml:space="preserve"> </w:t>
      </w:r>
      <w:r w:rsidRPr="003D0437">
        <w:t>für wichtige Vertreter dieser Stoffklasse. Veranschaulichung der Ausführungen mit Molekülmodellen (Kugel-Stäbchen-Modelle, Kalottenmodelle)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Aromaten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Benzen und der aromatische Zustand im Hybridisierungsmodell. Substituierte Aromaten, konden</w:t>
      </w:r>
      <w:r w:rsidR="00152040">
        <w:softHyphen/>
      </w:r>
      <w:r w:rsidRPr="003D0437">
        <w:t>sierte Aromaten (Beispiele). Benennung</w:t>
      </w:r>
      <w:r w:rsidR="00382E1F">
        <w:t xml:space="preserve"> </w:t>
      </w:r>
      <w:r w:rsidRPr="003D0437">
        <w:t>der Aromaten. Reaktionen der Aromaten – die elektrophile Substitution. Reaktionen von substituierten Aromaten – Reaktionsbedingungen</w:t>
      </w:r>
      <w:r w:rsidR="00382E1F">
        <w:t xml:space="preserve"> </w:t>
      </w:r>
      <w:r w:rsidRPr="003D0437">
        <w:t>für Kern- und Seitenkettensubstitution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Kunststoffe – Herstellungsmethoden – Struktur – Eigenschaften – Kunststoffverarbeitung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Unterschiedliche Herstellungsmethoden der Makromoleküle durch Polymerisation und Polykonden</w:t>
      </w:r>
      <w:r w:rsidR="00152040">
        <w:softHyphen/>
      </w:r>
      <w:r w:rsidRPr="003D0437">
        <w:t>sation. Beispiele zu den Kunststoffgruppen.</w:t>
      </w:r>
      <w:r w:rsidR="00382E1F">
        <w:t xml:space="preserve"> </w:t>
      </w:r>
      <w:r w:rsidRPr="003D0437">
        <w:t>Bau und Eigenschaften von Plastomeren und Duromeren. Verarbeitung von Kunststoffen zum jeweils fertigen Produkt. (Spritzgießen,</w:t>
      </w:r>
      <w:r w:rsidR="00382E1F">
        <w:t xml:space="preserve"> </w:t>
      </w:r>
      <w:r w:rsidRPr="003D0437">
        <w:t>Extrudieren, Kunststoff</w:t>
      </w:r>
      <w:r w:rsidR="00152040">
        <w:softHyphen/>
      </w:r>
      <w:r w:rsidRPr="003D0437">
        <w:t>harze, Verbundwerkstoffe)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Polymerisate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Die Kunststoffe PE, PP, PS und PVC als wichtige Massenkunststoffe. Ausgangsstoffe, Makromoleküle, Eigenschaften und Verwendung der</w:t>
      </w:r>
      <w:r w:rsidR="00382E1F">
        <w:t xml:space="preserve"> </w:t>
      </w:r>
      <w:r w:rsidRPr="003D0437">
        <w:t>einzelnen Kunststoffe. Unterscheidung dieser Kunststoffe durch einfache Experimente (Brennprobe, Pyrolyse im Reagenzglas und Geruchsprobe,</w:t>
      </w:r>
      <w:r w:rsidR="00382E1F">
        <w:t xml:space="preserve"> </w:t>
      </w:r>
      <w:r w:rsidRPr="003D0437">
        <w:t>Beilsteinprobe)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193E84" w:rsidRDefault="00193E84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lastRenderedPageBreak/>
        <w:t>Kautschuk und Gummi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Isopren, 1 - 4 Addition, Isoprenoide, Naturkautschuk, Vulkanisieren, Kunstkautschuk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Die Additionsreaktionen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Elektrophile und radikalische Addition an die Doppelbindung. Begründung der Regel von Markownikow für die Addition unsymmetrischer</w:t>
      </w:r>
      <w:r w:rsidR="00382E1F">
        <w:t xml:space="preserve"> </w:t>
      </w:r>
      <w:r w:rsidRPr="003D0437">
        <w:t>Moleküle am Beispiel der Addition von HBr durch den elektrophilen Reaktionsmechanismus, und die Entstehung des Antimarkownikowproduktes</w:t>
      </w:r>
      <w:r w:rsidR="00382E1F">
        <w:t xml:space="preserve"> </w:t>
      </w:r>
      <w:r w:rsidRPr="003D0437">
        <w:t>durch den radikalischen Mechanismus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Elektrophile Substitution am Aromaten</w:t>
      </w:r>
    </w:p>
    <w:p w:rsid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Erklärung des Reaktionsmechanismus. Chlorierung, Nitrierung, Alkylierung und Acylierung. Wirkung von schon vorhandenen Gruppen</w:t>
      </w:r>
      <w:r w:rsidR="00382E1F">
        <w:t xml:space="preserve"> </w:t>
      </w:r>
      <w:r w:rsidRPr="003D0437">
        <w:t>auf die Reaktionsfreudigkeit des Aromaten und auf die Position von neu eintretenden Gruppen. Erklärung dieser Wirkung durch induktive</w:t>
      </w:r>
      <w:r w:rsidR="00382E1F">
        <w:t xml:space="preserve"> </w:t>
      </w:r>
      <w:r w:rsidRPr="003D0437">
        <w:t>und mesomere Effekte (aktivierend, desaktivierend, dirigierend). Beispiele, mesomere Grenzstrukturen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3D0437">
        <w:rPr>
          <w:b/>
          <w:bCs/>
        </w:rPr>
        <w:t>Ermittlung einer Strukturformel</w:t>
      </w:r>
    </w:p>
    <w:p w:rsidR="003D0437" w:rsidRPr="003D0437" w:rsidRDefault="003D0437" w:rsidP="003D0437">
      <w:pPr>
        <w:autoSpaceDE w:val="0"/>
        <w:autoSpaceDN w:val="0"/>
        <w:adjustRightInd w:val="0"/>
        <w:spacing w:after="0" w:line="240" w:lineRule="auto"/>
      </w:pPr>
      <w:r w:rsidRPr="003D0437">
        <w:t>Gegeben sind die NMR Spektren dreier Isomere. Die Verbrennungsanalyse ergibt 54,55 % Kohlen</w:t>
      </w:r>
      <w:r w:rsidR="00152040">
        <w:softHyphen/>
      </w:r>
      <w:r w:rsidRPr="003D0437">
        <w:t>stoff, 9,09 % Wasserstoff, Rest Sauerstoff.</w:t>
      </w:r>
      <w:r w:rsidR="00382E1F">
        <w:t xml:space="preserve"> </w:t>
      </w:r>
      <w:r w:rsidRPr="003D0437">
        <w:t>Im Massenspektrum ist der höchste Massenpeak jeweils bei 88 u. Ermittlung der Summenformel aus diesen Daten und Zuordnung</w:t>
      </w:r>
      <w:r w:rsidR="00382E1F">
        <w:t xml:space="preserve"> </w:t>
      </w:r>
      <w:r w:rsidRPr="003D0437">
        <w:t>einer passenden Struktur jedem NMR Spektrum. Kurze Erklärung des Prinzip der NMR</w:t>
      </w:r>
      <w:r w:rsidR="00725A70">
        <w:t>-</w:t>
      </w:r>
      <w:r w:rsidRPr="003D0437">
        <w:t>Spektroskopie. Für welche der drei Substanzen</w:t>
      </w:r>
      <w:r w:rsidR="00382E1F">
        <w:t xml:space="preserve"> </w:t>
      </w:r>
      <w:r w:rsidRPr="003D0437">
        <w:t>ist der höchste Siedepunkt zu erwarten?</w:t>
      </w:r>
    </w:p>
    <w:p w:rsidR="003D0437" w:rsidRDefault="003D0437">
      <w:pPr>
        <w:autoSpaceDE w:val="0"/>
        <w:autoSpaceDN w:val="0"/>
        <w:adjustRightInd w:val="0"/>
        <w:spacing w:after="0" w:line="240" w:lineRule="auto"/>
      </w:pPr>
    </w:p>
    <w:p w:rsidR="00E13379" w:rsidRPr="00725A70" w:rsidRDefault="0053715E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725A70">
        <w:rPr>
          <w:b/>
          <w:bCs/>
          <w:color w:val="C00000"/>
          <w:sz w:val="24"/>
          <w:szCs w:val="24"/>
        </w:rPr>
        <w:t>8 Organische Verbindungen mit Hetero-Atomen</w:t>
      </w:r>
    </w:p>
    <w:p w:rsidR="0053715E" w:rsidRDefault="0053715E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Die Alkohole und ihre Oxidationsprodukte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Verhalten primärer, sekundärer und tertiärer Alkohole gegen Oxidationsmittel. Oxidationszahlen der funktionellen Gruppen. Nomenklatur der Alkohole und ihrer Oxidationsprodukte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Kondensationsreaktionen mit Alkoholen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Kondensation aus einem Alkoholmolekül, aus zwei Alkoholmolekülen und zwischen Alkoholen und Carbonsäuren bzw. Sauerstoffsäuren.  Benennung und Eigenschaften der Kondensationsprodukte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Ester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Herstellung der Ester, Bedeutung dieser Verbindungsklasse in Natur und Technik – Aromastoffe, Speisefette, Polyester, Tenside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Carbonsäuren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Säurestärke von Carbonsäuren, Reaktionen von Carbonsäuren, Aktivierung zu Säureanhydriden und Säurechloriden. Beispiele für Carbonsäuren, Dicarbonsäuren, Hydroxy- und Oxocarbonsäuren.</w:t>
      </w:r>
      <w:r w:rsidR="0053715E">
        <w:t xml:space="preserve"> </w:t>
      </w:r>
      <w:r>
        <w:t>Wasser</w:t>
      </w:r>
      <w:r w:rsidR="00152040">
        <w:softHyphen/>
      </w:r>
      <w:r>
        <w:t>stoffbrücken und die Eigenschaften organischer Sauerstoffverbindungen</w:t>
      </w:r>
      <w:r w:rsidR="0053715E">
        <w:t xml:space="preserve"> </w:t>
      </w:r>
      <w:r>
        <w:t>Siedepunkte und Wasserlöslichkeit von ein- und mehrwertigen Alkoholen, Ethern, Aldehyden, Ketonen, Carbonsäuren und Estern und die Begründung der Eigenschaften mit dem Modell der Wasserstoffbrückenbindung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Chirale Verbindungen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Optische Isomerie, Fischer-Projektion, Enantiomerenpaar, Diastereomere, Racemat, meso Form. Erklärung der Begriffe rechts/linksdrehend, D/L, R/S. Veranschaulichung der Ausführungen mit Molekülmodellen (Kugel-Stäbchen Modelle, Kalottenmodelle)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E13379" w:rsidRPr="0053715E" w:rsidRDefault="00E13379" w:rsidP="00E1337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Amine, Aminosäuren, Amide</w:t>
      </w:r>
    </w:p>
    <w:p w:rsidR="00E13379" w:rsidRDefault="00E13379" w:rsidP="00E13379">
      <w:pPr>
        <w:autoSpaceDE w:val="0"/>
        <w:autoSpaceDN w:val="0"/>
        <w:adjustRightInd w:val="0"/>
        <w:spacing w:after="0" w:line="240" w:lineRule="auto"/>
      </w:pPr>
      <w:r>
        <w:t>Struktur, Eigenschaften und Benennung von Aminen, ausgewählte Beispiele. Aminosäuren, auch als Bausteine der Eiweißstoffe. Amide, Primärstruktur der Eiweißstoffe als Polyamide, Polyamidkunst</w:t>
      </w:r>
      <w:r w:rsidR="0053715E">
        <w:softHyphen/>
      </w:r>
      <w:r>
        <w:t>stoffe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</w:pPr>
    </w:p>
    <w:p w:rsidR="00193E84" w:rsidRDefault="00193E8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53715E" w:rsidRPr="00725A70" w:rsidRDefault="0053715E" w:rsidP="00E13379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725A70">
        <w:rPr>
          <w:b/>
          <w:bCs/>
          <w:color w:val="C00000"/>
          <w:sz w:val="24"/>
          <w:szCs w:val="24"/>
        </w:rPr>
        <w:lastRenderedPageBreak/>
        <w:t>9 Ernährung</w:t>
      </w:r>
    </w:p>
    <w:p w:rsidR="0053715E" w:rsidRDefault="0053715E" w:rsidP="00E13379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Speisefette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Chemischer Aufbau der Speisefette, Bedeutung und Struktur der Fettsäuren, essenzielle Fettsäuren (ω-3-,</w:t>
      </w:r>
      <w:r w:rsidR="00725A70">
        <w:t xml:space="preserve"> </w:t>
      </w:r>
      <w:r w:rsidRPr="0053715E">
        <w:t>ω-6-Fettsäuren), Transfettsäuren.</w:t>
      </w:r>
      <w:r>
        <w:t xml:space="preserve"> </w:t>
      </w:r>
      <w:r w:rsidRPr="0053715E">
        <w:t>Bedeutung der Speisefette für die Ernährung. Verschiedene Formen der Speisefette. Herstellung von Margarine. Unterschiede</w:t>
      </w:r>
      <w:r>
        <w:t xml:space="preserve"> </w:t>
      </w:r>
      <w:r w:rsidRPr="0053715E">
        <w:t xml:space="preserve">zu Butter im </w:t>
      </w:r>
      <w:r w:rsidR="00725A70" w:rsidRPr="0053715E">
        <w:t>Konnex</w:t>
      </w:r>
      <w:r w:rsidRPr="0053715E">
        <w:t xml:space="preserve"> mit Ernährung.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Zucker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Mono- und Disaccharide, reduzierende und nicht reduzierende Zucker. Beispiele, Strukturen und Begründung der reduzierenden Wirkung.</w:t>
      </w:r>
      <w:r>
        <w:t xml:space="preserve"> </w:t>
      </w:r>
      <w:r w:rsidRPr="0053715E">
        <w:t>Einfluss der Zucker auf die Ernährung. Blutzucker.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Polysaccharide</w:t>
      </w:r>
    </w:p>
    <w:p w:rsidR="0053715E" w:rsidRPr="00725A70" w:rsidRDefault="0053715E" w:rsidP="0053715E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53715E">
        <w:t>Stärke und Cellulose. Chemischer Aufbau. Bedeutung in der Ernährung. Glycogen als tierischer Reservestoff. Bedeutung der Cellulose als</w:t>
      </w:r>
      <w:r>
        <w:t xml:space="preserve"> </w:t>
      </w:r>
      <w:r w:rsidRPr="0053715E">
        <w:t xml:space="preserve">Rohstoff für Textil- und technische Fasern. </w:t>
      </w:r>
      <w:r w:rsidRPr="00725A70">
        <w:rPr>
          <w:i/>
          <w:iCs/>
        </w:rPr>
        <w:t>(Siehe auch Kapitel 10)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Eiweißstoffe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Primär- Sekundär- und Tertiärstruktur der Proteine, Denaturierung. Bedeutung der Stoffgru</w:t>
      </w:r>
      <w:r>
        <w:t>p</w:t>
      </w:r>
      <w:r w:rsidRPr="0053715E">
        <w:t>pe als Nahrungsmittel. Unterschiedliche</w:t>
      </w:r>
      <w:r>
        <w:t xml:space="preserve"> </w:t>
      </w:r>
      <w:r w:rsidRPr="0053715E">
        <w:t>Wertigkeit von verschiedenen Eiweißstoffen in der Ernährung. Essenzielle Aminosäuren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Vitamine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Bedeutung der Vitamine für die Ernährung. Wasser- und fettlösliche Vitamine, Beispiele dazu. Vitaminmangelerkrankungen und Vitaminwirkung</w:t>
      </w:r>
      <w:r>
        <w:t xml:space="preserve"> </w:t>
      </w:r>
      <w:r w:rsidRPr="0053715E">
        <w:t>an einigen selbstgewählten Beispielen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C85658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  <w:color w:val="C00000"/>
          <w:sz w:val="24"/>
          <w:szCs w:val="24"/>
        </w:rPr>
      </w:pPr>
      <w:r w:rsidRPr="00C85658">
        <w:rPr>
          <w:b/>
          <w:bCs/>
          <w:color w:val="C00000"/>
          <w:sz w:val="24"/>
          <w:szCs w:val="24"/>
        </w:rPr>
        <w:t>10 Stoffwechsel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Fettstoffwechsel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Speisefette, Fettverdauung, Fettsäureabbau im Organismus zu Acetyl-Coenzym A (β-Oxidation). Störungen des Fettsäureabbaus</w:t>
      </w:r>
      <w:r>
        <w:t xml:space="preserve"> </w:t>
      </w:r>
      <w:r w:rsidRPr="0053715E">
        <w:t>bei verzweigten Fettsäuren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Kohlenhydratstoffwechsel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Die Verwertung von Kohlenhydraten im Stoffwechsel des Menschen. Glucoseverwertung ausgehend von Blutzucker auf dem</w:t>
      </w:r>
      <w:r>
        <w:t xml:space="preserve"> </w:t>
      </w:r>
      <w:r w:rsidRPr="0053715E">
        <w:t>aeroben und dem anaeroben Weg. Welchen Sinn hat die Existenz zweier verschiedener Stoffwechselwege in diesem Fall? Bilanz,</w:t>
      </w:r>
      <w:r>
        <w:t xml:space="preserve"> </w:t>
      </w:r>
      <w:r w:rsidRPr="0053715E">
        <w:t>wie viel Mol ATP anaerob bei der Verwertung von einem Mol Glucose gewonnen werden können. Hilfsmittel: Folie mit der</w:t>
      </w:r>
      <w:r>
        <w:t xml:space="preserve"> </w:t>
      </w:r>
      <w:r w:rsidRPr="0053715E">
        <w:t>Reaktionsfolge der Glycolyse. In den Folien ist zu ergänzen, an welchen Stellen des Stoffwechselweges ATP und NADH gewonnen</w:t>
      </w:r>
      <w:r>
        <w:t xml:space="preserve"> </w:t>
      </w:r>
      <w:r w:rsidRPr="0053715E">
        <w:t>werden.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Verwertung von Acetyl-Coenzym A zu ATP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Citronensäure</w:t>
      </w:r>
      <w:r w:rsidR="0050169A">
        <w:t>c</w:t>
      </w:r>
      <w:r w:rsidRPr="0053715E">
        <w:t>yclus, Atmungskette. Vollständiger Abbau von einem Molekül Acetyl-Coenzym A. Reaktionen, Energiebilanz. Bedeutung</w:t>
      </w:r>
      <w:r>
        <w:t xml:space="preserve"> </w:t>
      </w:r>
      <w:r w:rsidRPr="0053715E">
        <w:t>des Citronensäurecyclus als zentrale Drehscheibe im Stoff</w:t>
      </w:r>
      <w:r w:rsidR="00152040">
        <w:softHyphen/>
      </w:r>
      <w:r w:rsidRPr="0053715E">
        <w:t>wechsel. Hilfsmittel: Folien mit den Reaktionsfolgen des Citrat</w:t>
      </w:r>
      <w:r w:rsidR="0050169A">
        <w:t>c</w:t>
      </w:r>
      <w:r w:rsidRPr="0053715E">
        <w:t>yclus</w:t>
      </w:r>
      <w:r>
        <w:t xml:space="preserve"> </w:t>
      </w:r>
      <w:r w:rsidRPr="0053715E">
        <w:t>und der Atmungskette. In den Folien ist zu ergänzen, an welchen Stellen des Stoffwechselweges ATP, GTP, NADH und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FADH2 gewonnen werden.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Eiweiß und Aminosäurestoffwechsel</w:t>
      </w:r>
    </w:p>
    <w:p w:rsid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Aufbau des Nährstoffes Eiweiß aus Aminosäuren. Erklärung, weshalb Eiweiß ein essentieller Nähr</w:t>
      </w:r>
      <w:r w:rsidR="00152040">
        <w:softHyphen/>
      </w:r>
      <w:r w:rsidRPr="0053715E">
        <w:t>stoff ist. Abbau von Eiweiß</w:t>
      </w:r>
      <w:r>
        <w:t xml:space="preserve"> </w:t>
      </w:r>
      <w:r w:rsidRPr="0053715E">
        <w:t>im Organismus, die Fixierung des Stickstoffanteils in ausscheidungs</w:t>
      </w:r>
      <w:r>
        <w:softHyphen/>
      </w:r>
      <w:r w:rsidRPr="0053715E">
        <w:t>fähiger Form. Hilfsmittel: Folie mit der Reaktionsfolge des</w:t>
      </w:r>
      <w:r>
        <w:t xml:space="preserve"> </w:t>
      </w:r>
      <w:r w:rsidRPr="0053715E">
        <w:t>Harnstoff</w:t>
      </w:r>
      <w:r w:rsidR="0050169A">
        <w:t>c</w:t>
      </w:r>
      <w:r w:rsidRPr="0053715E">
        <w:t>yclus. In der Folie ist zu ergänzen, an welchen Stellen die Ammoniumionen eintreten, wo der Harnstoff abgegeben</w:t>
      </w:r>
      <w:r>
        <w:t xml:space="preserve"> </w:t>
      </w:r>
      <w:r w:rsidRPr="0053715E">
        <w:t>wird und wo ATP benötigt wird.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3715E">
        <w:rPr>
          <w:b/>
          <w:bCs/>
        </w:rPr>
        <w:t>DNA, RNA, Eiweißsynthese, Vererbung</w:t>
      </w:r>
    </w:p>
    <w:p w:rsidR="0053715E" w:rsidRPr="0053715E" w:rsidRDefault="0053715E" w:rsidP="0053715E">
      <w:pPr>
        <w:autoSpaceDE w:val="0"/>
        <w:autoSpaceDN w:val="0"/>
        <w:adjustRightInd w:val="0"/>
        <w:spacing w:after="0" w:line="240" w:lineRule="auto"/>
      </w:pPr>
      <w:r w:rsidRPr="0053715E">
        <w:t>Aufbau von Nucleinsäuren aus Nucleotiden und die Paarung der Purin–Pyrimidinbasen. Synthese von Eiweiß (Translation,</w:t>
      </w:r>
      <w:r>
        <w:t xml:space="preserve"> </w:t>
      </w:r>
      <w:r w:rsidRPr="0053715E">
        <w:t>Aminosäureaktivierung). Hilfsmittel: Folie mit dem genetischen Code</w:t>
      </w:r>
    </w:p>
    <w:sectPr w:rsidR="0053715E" w:rsidRPr="0053715E" w:rsidSect="00725A70">
      <w:headerReference w:type="default" r:id="rId6"/>
      <w:pgSz w:w="11906" w:h="16838" w:code="9"/>
      <w:pgMar w:top="567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A37" w:rsidRDefault="006E5A37" w:rsidP="00F548C8">
      <w:pPr>
        <w:spacing w:after="0" w:line="240" w:lineRule="auto"/>
      </w:pPr>
      <w:r>
        <w:separator/>
      </w:r>
    </w:p>
  </w:endnote>
  <w:endnote w:type="continuationSeparator" w:id="0">
    <w:p w:rsidR="006E5A37" w:rsidRDefault="006E5A37" w:rsidP="00F5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loMatheAustriaBuch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A37" w:rsidRDefault="006E5A37" w:rsidP="00F548C8">
      <w:pPr>
        <w:spacing w:after="0" w:line="240" w:lineRule="auto"/>
      </w:pPr>
      <w:r>
        <w:separator/>
      </w:r>
    </w:p>
  </w:footnote>
  <w:footnote w:type="continuationSeparator" w:id="0">
    <w:p w:rsidR="006E5A37" w:rsidRDefault="006E5A37" w:rsidP="00F5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8C8" w:rsidRPr="00F548C8" w:rsidRDefault="00F548C8">
    <w:pPr>
      <w:pStyle w:val="Kopfzeile"/>
      <w:jc w:val="right"/>
      <w:rPr>
        <w:lang w:val="de-DE"/>
      </w:rPr>
    </w:pPr>
    <w:r>
      <w:rPr>
        <w:lang w:val="de-DE"/>
      </w:rPr>
      <w:t xml:space="preserve">ELMO - </w:t>
    </w:r>
    <w:r w:rsidRPr="00F548C8">
      <w:rPr>
        <w:lang w:val="de-DE"/>
      </w:rPr>
      <w:t>Themenbereiche</w:t>
    </w:r>
    <w:sdt>
      <w:sdtPr>
        <w:rPr>
          <w:lang w:val="de-DE"/>
        </w:rPr>
        <w:id w:val="1801952647"/>
        <w:docPartObj>
          <w:docPartGallery w:val="Page Numbers (Top of Page)"/>
          <w:docPartUnique/>
        </w:docPartObj>
      </w:sdtPr>
      <w:sdtEndPr/>
      <w:sdtContent>
        <w:r>
          <w:rPr>
            <w:lang w:val="de-DE"/>
          </w:rPr>
          <w:t xml:space="preserve"> gesamt</w:t>
        </w:r>
        <w:r>
          <w:rPr>
            <w:lang w:val="de-DE"/>
          </w:rPr>
          <w:tab/>
        </w:r>
        <w:r w:rsidRPr="00F548C8">
          <w:rPr>
            <w:lang w:val="de-DE"/>
          </w:rPr>
          <w:fldChar w:fldCharType="begin"/>
        </w:r>
        <w:r w:rsidRPr="00F548C8">
          <w:rPr>
            <w:lang w:val="de-DE"/>
          </w:rPr>
          <w:instrText>PAGE   \* MERGEFORMAT</w:instrText>
        </w:r>
        <w:r w:rsidRPr="00F548C8">
          <w:rPr>
            <w:lang w:val="de-DE"/>
          </w:rPr>
          <w:fldChar w:fldCharType="separate"/>
        </w:r>
        <w:r>
          <w:rPr>
            <w:lang w:val="de-DE"/>
          </w:rPr>
          <w:t>2</w:t>
        </w:r>
        <w:r w:rsidRPr="00F548C8">
          <w:rPr>
            <w:lang w:val="de-DE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C8"/>
    <w:rsid w:val="000156C5"/>
    <w:rsid w:val="00074D76"/>
    <w:rsid w:val="00084945"/>
    <w:rsid w:val="0011391F"/>
    <w:rsid w:val="00152040"/>
    <w:rsid w:val="00193E84"/>
    <w:rsid w:val="00216F4C"/>
    <w:rsid w:val="00382E1F"/>
    <w:rsid w:val="003D0437"/>
    <w:rsid w:val="0050169A"/>
    <w:rsid w:val="0053715E"/>
    <w:rsid w:val="00551C3A"/>
    <w:rsid w:val="00564FBF"/>
    <w:rsid w:val="00631723"/>
    <w:rsid w:val="006E5A37"/>
    <w:rsid w:val="00725A70"/>
    <w:rsid w:val="00752ECC"/>
    <w:rsid w:val="0086078C"/>
    <w:rsid w:val="00C85658"/>
    <w:rsid w:val="00D90618"/>
    <w:rsid w:val="00E13379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EE38"/>
  <w15:chartTrackingRefBased/>
  <w15:docId w15:val="{343BB17D-6E59-4C40-AC27-F55905FA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48C8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F5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48C8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69A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2295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13</cp:revision>
  <cp:lastPrinted>2020-03-17T14:00:00Z</cp:lastPrinted>
  <dcterms:created xsi:type="dcterms:W3CDTF">2020-03-12T10:31:00Z</dcterms:created>
  <dcterms:modified xsi:type="dcterms:W3CDTF">2020-03-18T08:33:00Z</dcterms:modified>
</cp:coreProperties>
</file>