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A5" w:rsidRPr="00E878AE" w:rsidRDefault="000D1FE9" w:rsidP="001A268D">
      <w:pPr>
        <w:spacing w:after="0" w:line="260" w:lineRule="atLeast"/>
        <w:rPr>
          <w:rFonts w:ascii="Calibri" w:eastAsia="Arial" w:hAnsi="Calibri" w:cs="Arial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Laut Vorgabe des Lehrplans 2000 hat der Unterrichtsgegenstand Physik das besondere Ziel „das Modelldenken der</w:t>
      </w:r>
      <w:r w:rsidR="004E0C5B"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Physik“ zu vermitteln. Dies kann nur durch Beobachtung physikalischer Vorgänge – als Experiment und im Alltagserleben</w:t>
      </w:r>
      <w:r w:rsidR="004E0C5B"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– funktionieren. Das Verstehen und Deuten dieser Vorgänge durch die physikalische Sichtweise </w:t>
      </w:r>
      <w:proofErr w:type="gramStart"/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soll</w:t>
      </w:r>
      <w:proofErr w:type="gramEnd"/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den Schülerinnen und Schülern in Verbindung mit anderen Unterrichtsgegenständen eine bessere Orientierung in der Umwelt und entsprechend verantwortungsbewusstes Handeln vermitteln.</w:t>
      </w:r>
    </w:p>
    <w:p w:rsidR="008F45A5" w:rsidRDefault="000D1FE9" w:rsidP="00AA5D58">
      <w:pPr>
        <w:spacing w:after="120" w:line="260" w:lineRule="atLeast"/>
        <w:ind w:right="-130"/>
        <w:rPr>
          <w:rFonts w:ascii="Calibri" w:eastAsia="Arial" w:hAnsi="Calibri" w:cs="Arial"/>
          <w:color w:val="1A1A18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Gefordert wird besonders der handlungsorientierte Unterricht unter Berücksichtigung des </w:t>
      </w:r>
      <w:proofErr w:type="spellStart"/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Entwick</w:t>
      </w:r>
      <w:r w:rsidR="001A268D"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-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lungsstandes</w:t>
      </w:r>
      <w:proofErr w:type="spellEnd"/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der</w:t>
      </w:r>
      <w:r w:rsidR="004E0C5B"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Schülerinnen und Schüler und nicht nur das bloße Vermitteln von Zahlen und Fakten.</w:t>
      </w:r>
    </w:p>
    <w:p w:rsidR="008F5D05" w:rsidRPr="00E878AE" w:rsidRDefault="008F5D05" w:rsidP="00AA5D58">
      <w:pPr>
        <w:spacing w:after="120" w:line="260" w:lineRule="atLeast"/>
        <w:ind w:right="-130"/>
        <w:rPr>
          <w:rFonts w:ascii="Calibri" w:eastAsia="Arial" w:hAnsi="Calibri" w:cs="Arial"/>
          <w:sz w:val="21"/>
          <w:szCs w:val="21"/>
          <w:lang w:val="de-AT"/>
        </w:rPr>
      </w:pP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51"/>
        <w:gridCol w:w="3260"/>
        <w:gridCol w:w="4678"/>
      </w:tblGrid>
      <w:tr w:rsidR="00930CDA" w:rsidRPr="00900D67" w:rsidTr="00771375">
        <w:trPr>
          <w:trHeight w:hRule="exact" w:val="342"/>
        </w:trPr>
        <w:tc>
          <w:tcPr>
            <w:tcW w:w="7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F317F1" w:rsidRPr="00900D67" w:rsidRDefault="00930CDA" w:rsidP="00930CDA">
            <w:pPr>
              <w:spacing w:after="0" w:line="240" w:lineRule="auto"/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 xml:space="preserve"> </w:t>
            </w:r>
            <w:r w:rsidR="00F317F1"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Monat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F317F1" w:rsidRPr="00900D67" w:rsidRDefault="00930CDA" w:rsidP="00930CDA">
            <w:pPr>
              <w:spacing w:after="0" w:line="240" w:lineRule="auto"/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 xml:space="preserve"> </w:t>
            </w:r>
            <w:r w:rsidR="00F317F1"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Stunden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F317F1" w:rsidRPr="00900D67" w:rsidRDefault="00F317F1" w:rsidP="00930CDA">
            <w:pPr>
              <w:spacing w:after="0" w:line="240" w:lineRule="auto"/>
              <w:ind w:firstLine="113"/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Kapitel</w:t>
            </w:r>
          </w:p>
        </w:tc>
        <w:tc>
          <w:tcPr>
            <w:tcW w:w="467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F317F1" w:rsidRPr="00900D67" w:rsidRDefault="00F317F1" w:rsidP="00930CDA">
            <w:pPr>
              <w:spacing w:after="0" w:line="240" w:lineRule="auto"/>
              <w:ind w:firstLine="113"/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Lehrplanbezug</w:t>
            </w:r>
          </w:p>
        </w:tc>
      </w:tr>
      <w:tr w:rsidR="00CC552A" w:rsidRPr="00900D67" w:rsidTr="00CC552A">
        <w:trPr>
          <w:cantSplit/>
          <w:trHeight w:hRule="exact" w:val="397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CC552A" w:rsidRPr="00900D67" w:rsidRDefault="00CC552A" w:rsidP="00CC552A">
            <w:pPr>
              <w:spacing w:after="0" w:line="240" w:lineRule="auto"/>
              <w:ind w:right="-20"/>
              <w:jc w:val="center"/>
              <w:rPr>
                <w:rFonts w:eastAsia="Arial" w:cs="Arial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September</w:t>
            </w:r>
          </w:p>
        </w:tc>
        <w:tc>
          <w:tcPr>
            <w:tcW w:w="411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B1B2B2"/>
            <w:vAlign w:val="center"/>
          </w:tcPr>
          <w:p w:rsidR="00CC552A" w:rsidRPr="00900D67" w:rsidRDefault="00CC552A" w:rsidP="00B823F0">
            <w:pPr>
              <w:spacing w:after="0" w:line="240" w:lineRule="auto"/>
              <w:ind w:left="80" w:right="-20"/>
              <w:rPr>
                <w:rFonts w:eastAsia="Times New Roman" w:cs="Times New Roman"/>
                <w:sz w:val="21"/>
                <w:szCs w:val="21"/>
                <w:lang w:val="de-AT"/>
              </w:rPr>
            </w:pPr>
            <w:r w:rsidRPr="00900D67">
              <w:rPr>
                <w:rFonts w:eastAsia="Times New Roman" w:cs="Times New Roman"/>
                <w:i/>
                <w:color w:val="1A1A18"/>
                <w:sz w:val="21"/>
                <w:szCs w:val="21"/>
                <w:lang w:val="de-AT"/>
              </w:rPr>
              <w:t>1. Die Welt des Sichtbaren</w:t>
            </w:r>
          </w:p>
        </w:tc>
        <w:tc>
          <w:tcPr>
            <w:tcW w:w="4678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4954AD">
            <w:pPr>
              <w:spacing w:after="0" w:line="240" w:lineRule="auto"/>
              <w:ind w:left="80" w:right="114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Ausgehend von Alltagserfahrungen sollen die Schülerinnen und Schüler grundlegendes Verständnis über Entstehung und Ausbreitungs</w:t>
            </w: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-</w:t>
            </w: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verhalten des Lichtes erwerben und anwenden können.</w:t>
            </w:r>
          </w:p>
          <w:p w:rsidR="00CC552A" w:rsidRPr="00900D67" w:rsidRDefault="00CC552A" w:rsidP="004954AD">
            <w:pPr>
              <w:spacing w:after="0" w:line="240" w:lineRule="auto"/>
              <w:ind w:left="250" w:right="215" w:hanging="17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• Die Voraussetzungen für die Sichtbarkeit von Körpern erkennen und die Folgeerscheinungen der geradlinigen Lichtausbreitung verstehen;</w:t>
            </w:r>
          </w:p>
          <w:p w:rsidR="00CC552A" w:rsidRPr="00900D67" w:rsidRDefault="00CC552A" w:rsidP="004954AD">
            <w:pPr>
              <w:spacing w:after="0" w:line="240" w:lineRule="auto"/>
              <w:ind w:left="250" w:right="215" w:hanging="17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• Funktionsprinzipien optischer Geräte und deren Grenzen bei der Bilderzeugung verstehen und Einblicke in die kulturhistorische Bedeutung gewinnen (Ebener und gekrümmter Spiegel; Brechung und Totalreﬂexion, Fernrohr und Mikroskop);</w:t>
            </w:r>
          </w:p>
          <w:p w:rsidR="00CC552A" w:rsidRPr="00900D67" w:rsidRDefault="00CC552A" w:rsidP="004954AD">
            <w:pPr>
              <w:spacing w:after="0" w:line="240" w:lineRule="auto"/>
              <w:ind w:left="250" w:right="215" w:hanging="17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• Grundlegendes Wissen über das Zustandekommen von Farben in der Natur erwerben.</w:t>
            </w:r>
          </w:p>
        </w:tc>
      </w:tr>
      <w:tr w:rsidR="00CC552A" w:rsidRPr="00900D67" w:rsidTr="00771375">
        <w:trPr>
          <w:cantSplit/>
          <w:trHeight w:hRule="exact" w:val="680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CC552A" w:rsidRPr="00900D67" w:rsidRDefault="00CC552A" w:rsidP="00DA2137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1–2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Lichtquellen und Ausbreitung des Lichts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CC552A" w:rsidRPr="00900D67" w:rsidTr="00F2085D">
        <w:trPr>
          <w:cantSplit/>
          <w:trHeight w:hRule="exact" w:val="340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CC552A" w:rsidRPr="00900D67" w:rsidRDefault="00CC552A" w:rsidP="00DA2137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Schatten und Finsternisse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CC552A" w:rsidRPr="00900D67" w:rsidTr="00771375">
        <w:trPr>
          <w:cantSplit/>
          <w:trHeight w:hRule="exact" w:val="680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CC552A" w:rsidRPr="00900D67" w:rsidRDefault="00CC552A" w:rsidP="00DA2137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Das Reflexionsgesetz und der ebene Spiegel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CC552A" w:rsidRPr="00900D67" w:rsidTr="00CC552A">
        <w:trPr>
          <w:cantSplit/>
          <w:trHeight w:val="57"/>
        </w:trPr>
        <w:tc>
          <w:tcPr>
            <w:tcW w:w="709" w:type="dxa"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CC552A" w:rsidRPr="00900D67" w:rsidRDefault="00CC552A" w:rsidP="00DA2137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Hohlspiegel und Wölbspiegel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CC552A" w:rsidRPr="00900D67" w:rsidRDefault="00CC552A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0F89" w:rsidRPr="00900D67" w:rsidTr="00CC552A">
        <w:trPr>
          <w:cantSplit/>
          <w:trHeight w:val="275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0F89" w:rsidRPr="00900D67" w:rsidRDefault="00400F89" w:rsidP="00DA2137">
            <w:pPr>
              <w:spacing w:after="0" w:line="240" w:lineRule="auto"/>
              <w:ind w:right="-20"/>
              <w:jc w:val="center"/>
              <w:rPr>
                <w:rFonts w:eastAsia="Arial" w:cs="Arial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Oktober</w:t>
            </w:r>
          </w:p>
        </w:tc>
        <w:tc>
          <w:tcPr>
            <w:tcW w:w="851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</w:p>
        </w:tc>
        <w:tc>
          <w:tcPr>
            <w:tcW w:w="3260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0F89" w:rsidRPr="00900D67" w:rsidTr="00F2085D">
        <w:trPr>
          <w:cantSplit/>
          <w:trHeight w:val="340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0F89" w:rsidRPr="00900D67" w:rsidRDefault="00400F89" w:rsidP="00DA2137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Lichtbrechung und Totalreflexion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0F89" w:rsidRPr="00900D67" w:rsidTr="00F2085D">
        <w:trPr>
          <w:cantSplit/>
          <w:trHeight w:val="340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0F89" w:rsidRPr="00900D67" w:rsidRDefault="00400F89" w:rsidP="00DA2137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Sammel- und Zerstreuungslinse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0F89" w:rsidRPr="00900D67" w:rsidTr="00F2085D">
        <w:trPr>
          <w:cantSplit/>
          <w:trHeight w:val="340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0F89" w:rsidRPr="00900D67" w:rsidRDefault="00400F89" w:rsidP="00DA2137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Weißes und farbiges Licht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0F89" w:rsidRPr="00900D67" w:rsidTr="00F2085D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0F89" w:rsidRPr="00900D67" w:rsidRDefault="00400F89" w:rsidP="00930CDA">
            <w:pPr>
              <w:spacing w:after="0" w:line="240" w:lineRule="auto"/>
              <w:ind w:right="-20"/>
              <w:jc w:val="center"/>
              <w:rPr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November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1–2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Fotoapparat und Auge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0F89" w:rsidRPr="00900D67" w:rsidTr="00D2105F">
        <w:trPr>
          <w:cantSplit/>
          <w:trHeight w:hRule="exact" w:val="680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0F89" w:rsidRPr="00900D67" w:rsidRDefault="00400F89" w:rsidP="00930CDA">
            <w:pPr>
              <w:spacing w:after="0" w:line="240" w:lineRule="auto"/>
              <w:ind w:right="-20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FD0DF0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1–2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E34959">
            <w:pPr>
              <w:spacing w:after="0" w:line="240" w:lineRule="auto"/>
              <w:ind w:left="80"/>
              <w:rPr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Physik verstehen in der Technik: Fernrohr und Mikroskop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400F89" w:rsidRPr="00900D67" w:rsidRDefault="00400F89" w:rsidP="00DA2137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954AD" w:rsidRPr="00900D67" w:rsidTr="00771375">
        <w:trPr>
          <w:cantSplit/>
          <w:trHeight w:hRule="exact" w:val="670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954AD" w:rsidRPr="00900D67" w:rsidRDefault="004954AD" w:rsidP="00930CDA">
            <w:pPr>
              <w:spacing w:after="0" w:line="240" w:lineRule="auto"/>
              <w:ind w:right="-20"/>
              <w:jc w:val="center"/>
              <w:rPr>
                <w:rFonts w:eastAsia="Arial" w:cs="Arial"/>
                <w:sz w:val="21"/>
                <w:szCs w:val="21"/>
                <w:lang w:val="de-A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B1B2B2"/>
            <w:vAlign w:val="center"/>
          </w:tcPr>
          <w:p w:rsidR="004954AD" w:rsidRPr="00900D67" w:rsidRDefault="004954AD" w:rsidP="00E518F9">
            <w:pPr>
              <w:spacing w:after="0" w:line="240" w:lineRule="auto"/>
              <w:ind w:left="282" w:hanging="202"/>
              <w:rPr>
                <w:rFonts w:eastAsia="Arial" w:cs="Arial"/>
                <w:sz w:val="21"/>
                <w:szCs w:val="21"/>
                <w:lang w:val="de-AT"/>
              </w:rPr>
            </w:pPr>
            <w:r w:rsidRPr="00900D67">
              <w:rPr>
                <w:rFonts w:eastAsia="Times New Roman" w:cs="Times New Roman"/>
                <w:i/>
                <w:color w:val="1A1A18"/>
                <w:sz w:val="21"/>
                <w:szCs w:val="21"/>
                <w:lang w:val="de-AT"/>
              </w:rPr>
              <w:t>2. Gekrümmte Wege auf der Erde und im Weltall</w:t>
            </w:r>
          </w:p>
        </w:tc>
        <w:tc>
          <w:tcPr>
            <w:tcW w:w="4678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vAlign w:val="center"/>
          </w:tcPr>
          <w:p w:rsidR="004954AD" w:rsidRPr="00900D67" w:rsidRDefault="004954AD" w:rsidP="004954AD">
            <w:pPr>
              <w:spacing w:after="0" w:line="240" w:lineRule="auto"/>
              <w:ind w:left="80" w:right="114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Ausgehend von Alltagserfahrungen sollen die Schülerinnen und Schüler ein immer tiefergehendes Verständnis der Auswirkungen von Kräften auf das Bewegungsverhalten von Körpern gewinnen.</w:t>
            </w:r>
          </w:p>
          <w:p w:rsidR="004954AD" w:rsidRPr="00900D67" w:rsidRDefault="004954AD" w:rsidP="004954AD">
            <w:pPr>
              <w:spacing w:after="0" w:line="240" w:lineRule="auto"/>
              <w:ind w:left="250" w:right="215" w:hanging="17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sz w:val="21"/>
                <w:szCs w:val="21"/>
                <w:lang w:val="de-AT"/>
              </w:rPr>
              <w:t xml:space="preserve">• </w:t>
            </w: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Eine Bewegung längs einer gekrümmten Bahn als Folge der Einwirkung einer Querkraft verstehen; Zentripetalkraft;</w:t>
            </w:r>
          </w:p>
          <w:p w:rsidR="004954AD" w:rsidRPr="00900D67" w:rsidRDefault="004954AD" w:rsidP="004954AD">
            <w:pPr>
              <w:spacing w:after="0" w:line="240" w:lineRule="auto"/>
              <w:ind w:left="250" w:right="215" w:hanging="17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• Die Gewichtskraft als Gravitationskraft deuten können;</w:t>
            </w:r>
          </w:p>
          <w:p w:rsidR="004954AD" w:rsidRPr="00900D67" w:rsidRDefault="004954AD" w:rsidP="004954AD">
            <w:pPr>
              <w:spacing w:after="0" w:line="240" w:lineRule="auto"/>
              <w:ind w:left="250" w:right="215" w:hanging="170"/>
              <w:rPr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• Bewegungen von Planeten und Satelliten grundlegend erklären können.</w:t>
            </w:r>
          </w:p>
        </w:tc>
      </w:tr>
      <w:tr w:rsidR="004954AD" w:rsidRPr="00900D67" w:rsidTr="00D17987">
        <w:trPr>
          <w:cantSplit/>
          <w:trHeight w:hRule="exact" w:val="340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954AD" w:rsidRPr="00900D67" w:rsidRDefault="004954AD" w:rsidP="004954AD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954AD" w:rsidRPr="00900D67" w:rsidRDefault="004954AD" w:rsidP="004954AD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954AD" w:rsidRPr="00900D67" w:rsidRDefault="004954AD" w:rsidP="004954AD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Kräfte und Bewegungen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right w:val="single" w:sz="4" w:space="0" w:color="1A1A18"/>
            </w:tcBorders>
            <w:vAlign w:val="center"/>
          </w:tcPr>
          <w:p w:rsidR="004954AD" w:rsidRPr="00900D67" w:rsidRDefault="004954AD" w:rsidP="004954AD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954AD" w:rsidRPr="00900D67" w:rsidTr="00D17987">
        <w:trPr>
          <w:cantSplit/>
          <w:trHeight w:hRule="exact" w:val="340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954AD" w:rsidRPr="00900D67" w:rsidRDefault="004954AD" w:rsidP="004954AD">
            <w:pPr>
              <w:spacing w:after="0" w:line="240" w:lineRule="auto"/>
              <w:jc w:val="center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954AD" w:rsidRPr="00900D67" w:rsidRDefault="004954AD" w:rsidP="004954AD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1–2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954AD" w:rsidRPr="00900D67" w:rsidRDefault="004954AD" w:rsidP="004954AD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Der freie Fall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right w:val="single" w:sz="4" w:space="0" w:color="1A1A18"/>
            </w:tcBorders>
            <w:vAlign w:val="center"/>
          </w:tcPr>
          <w:p w:rsidR="004954AD" w:rsidRPr="00900D67" w:rsidRDefault="004954AD" w:rsidP="004954AD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3C5EE3" w:rsidRPr="00900D67" w:rsidTr="00D17987"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3C5EE3" w:rsidRPr="00900D67" w:rsidRDefault="003C5EE3" w:rsidP="004954AD">
            <w:pPr>
              <w:spacing w:after="0" w:line="240" w:lineRule="auto"/>
              <w:ind w:right="-20"/>
              <w:jc w:val="center"/>
              <w:rPr>
                <w:rFonts w:eastAsia="Arial" w:cs="Arial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Dezember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3C5EE3" w:rsidRPr="00900D67" w:rsidRDefault="003C5EE3" w:rsidP="004954AD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3C5EE3" w:rsidRPr="00900D67" w:rsidRDefault="003C5EE3" w:rsidP="004954AD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Die Kreisbewegung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right w:val="single" w:sz="4" w:space="0" w:color="1A1A18"/>
            </w:tcBorders>
            <w:vAlign w:val="center"/>
          </w:tcPr>
          <w:p w:rsidR="003C5EE3" w:rsidRPr="00900D67" w:rsidRDefault="003C5EE3" w:rsidP="004954AD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3C5EE3" w:rsidRPr="00900D67" w:rsidTr="008F5D05">
        <w:trPr>
          <w:cantSplit/>
          <w:trHeight w:hRule="exact" w:val="1365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3C5EE3" w:rsidRPr="00900D67" w:rsidRDefault="003C5EE3" w:rsidP="004954AD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3C5EE3" w:rsidRPr="00900D67" w:rsidRDefault="003C5EE3" w:rsidP="004954AD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3C5EE3" w:rsidRPr="00900D67" w:rsidRDefault="003C5EE3" w:rsidP="004954AD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Planetenbewegung – Gravitationskraft – Raumfahrt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3C5EE3" w:rsidRPr="00900D67" w:rsidRDefault="003C5EE3" w:rsidP="004954AD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6A99" w:rsidRPr="00900D67" w:rsidTr="00614B50">
        <w:trPr>
          <w:cantSplit/>
          <w:trHeight w:hRule="exact" w:val="397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6A99" w:rsidRPr="00900D67" w:rsidRDefault="00406A99" w:rsidP="00930CDA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B1B2B2"/>
            <w:vAlign w:val="center"/>
          </w:tcPr>
          <w:p w:rsidR="00406A99" w:rsidRPr="00900D67" w:rsidRDefault="00406A99" w:rsidP="00686301">
            <w:pPr>
              <w:spacing w:after="0" w:line="240" w:lineRule="auto"/>
              <w:ind w:left="8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Times New Roman" w:cs="Times New Roman"/>
                <w:i/>
                <w:color w:val="1A1A18"/>
                <w:sz w:val="21"/>
                <w:szCs w:val="21"/>
                <w:lang w:val="de-AT"/>
              </w:rPr>
              <w:t>3. Elektrizität bestimmt unser Leben</w:t>
            </w:r>
          </w:p>
        </w:tc>
        <w:tc>
          <w:tcPr>
            <w:tcW w:w="4678" w:type="dxa"/>
            <w:vMerge w:val="restart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406A99">
            <w:pPr>
              <w:spacing w:after="0" w:line="240" w:lineRule="auto"/>
              <w:ind w:left="80" w:right="114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Ausgehend von Alltagserfahrungen sollen die Schülerinnen und Schüler ein immer tiefergehendes Verständnis von technischer Erzeugung und Konsum von Elektroenergie gewinnen.</w:t>
            </w:r>
          </w:p>
          <w:p w:rsidR="00406A99" w:rsidRPr="00900D67" w:rsidRDefault="00406A99" w:rsidP="00406A99">
            <w:pPr>
              <w:spacing w:after="0" w:line="240" w:lineRule="auto"/>
              <w:ind w:left="250" w:right="215" w:hanging="17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sz w:val="21"/>
                <w:szCs w:val="21"/>
                <w:lang w:val="de-AT"/>
              </w:rPr>
              <w:t>• Einsicht in den Zusammenhang zwischen elektrischer und magnetischer Energie gewinnen; Permanentmagnet und Elektromagnet; elektromagnetische Induktion;</w:t>
            </w:r>
          </w:p>
        </w:tc>
      </w:tr>
      <w:tr w:rsidR="00406A99" w:rsidRPr="00900D67" w:rsidTr="005521DA">
        <w:trPr>
          <w:cantSplit/>
          <w:trHeight w:hRule="exact" w:val="340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6A99" w:rsidRPr="00900D67" w:rsidRDefault="00406A99" w:rsidP="00FB620E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1–2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Magnete und Magnetpole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6A99" w:rsidRPr="00900D67" w:rsidTr="004C41A3">
        <w:trPr>
          <w:cantSplit/>
          <w:trHeight w:hRule="exact" w:val="680"/>
        </w:trPr>
        <w:tc>
          <w:tcPr>
            <w:tcW w:w="709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6A99" w:rsidRPr="00900D67" w:rsidRDefault="00406A99" w:rsidP="00FB620E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Magnetfeld und magnetische Influenz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6A99" w:rsidRPr="00900D67" w:rsidTr="004C41A3">
        <w:trPr>
          <w:cantSplit/>
          <w:trHeight w:hRule="exact" w:val="680"/>
        </w:trPr>
        <w:tc>
          <w:tcPr>
            <w:tcW w:w="709" w:type="dxa"/>
            <w:vMerge w:val="restart"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6A99" w:rsidRPr="00900D67" w:rsidRDefault="00406A99" w:rsidP="00FB620E">
            <w:pPr>
              <w:spacing w:after="0" w:line="240" w:lineRule="auto"/>
              <w:ind w:right="-20"/>
              <w:jc w:val="center"/>
              <w:rPr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Jänner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1–2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Magnetfeld eines stromdurchflossenen Leiters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  <w:tr w:rsidR="00406A99" w:rsidRPr="00900D67" w:rsidTr="004C41A3">
        <w:trPr>
          <w:cantSplit/>
          <w:trHeight w:hRule="exact" w:val="680"/>
        </w:trPr>
        <w:tc>
          <w:tcPr>
            <w:tcW w:w="709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406A99" w:rsidRPr="00900D67" w:rsidRDefault="00406A99" w:rsidP="00FB620E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Physik verstehen in der Technik: Anwendungen von Elektromagneten</w:t>
            </w:r>
          </w:p>
        </w:tc>
        <w:tc>
          <w:tcPr>
            <w:tcW w:w="4678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406A99" w:rsidRPr="00900D67" w:rsidRDefault="00406A99" w:rsidP="00FB620E">
            <w:pPr>
              <w:spacing w:after="0" w:line="240" w:lineRule="auto"/>
              <w:rPr>
                <w:sz w:val="21"/>
                <w:szCs w:val="21"/>
                <w:lang w:val="de-AT"/>
              </w:rPr>
            </w:pPr>
          </w:p>
        </w:tc>
      </w:tr>
    </w:tbl>
    <w:p w:rsidR="00D2105F" w:rsidRDefault="00D2105F"/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51"/>
        <w:gridCol w:w="3260"/>
        <w:gridCol w:w="4678"/>
      </w:tblGrid>
      <w:tr w:rsidR="00EF64EA" w:rsidRPr="00900D67" w:rsidTr="002D7D83">
        <w:trPr>
          <w:trHeight w:hRule="exact" w:val="342"/>
        </w:trPr>
        <w:tc>
          <w:tcPr>
            <w:tcW w:w="7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EF64EA" w:rsidRPr="00900D67" w:rsidRDefault="005D342F" w:rsidP="005D342F">
            <w:pPr>
              <w:spacing w:after="0" w:line="240" w:lineRule="auto"/>
              <w:rPr>
                <w:rFonts w:ascii="Calibri" w:eastAsia="Arial" w:hAnsi="Calibri" w:cs="Arial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 xml:space="preserve"> </w:t>
            </w:r>
            <w:r w:rsidR="00EF64EA"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Monat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EF64EA" w:rsidRPr="00900D67" w:rsidRDefault="008E1FA7" w:rsidP="005D342F">
            <w:pPr>
              <w:spacing w:after="0" w:line="240" w:lineRule="auto"/>
              <w:rPr>
                <w:rFonts w:ascii="Calibri" w:eastAsia="Arial" w:hAnsi="Calibri" w:cs="Arial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 xml:space="preserve"> </w:t>
            </w:r>
            <w:r w:rsidR="00EF64EA"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Stunden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EF64EA" w:rsidRPr="00900D67" w:rsidRDefault="00EF64EA" w:rsidP="005D342F">
            <w:pPr>
              <w:spacing w:after="0" w:line="240" w:lineRule="auto"/>
              <w:ind w:firstLine="113"/>
              <w:rPr>
                <w:rFonts w:ascii="Calibri" w:eastAsia="Arial" w:hAnsi="Calibri" w:cs="Arial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Kapitel</w:t>
            </w:r>
          </w:p>
        </w:tc>
        <w:tc>
          <w:tcPr>
            <w:tcW w:w="467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868786"/>
            <w:vAlign w:val="center"/>
          </w:tcPr>
          <w:p w:rsidR="00EF64EA" w:rsidRPr="00900D67" w:rsidRDefault="00EF64EA" w:rsidP="005D342F">
            <w:pPr>
              <w:spacing w:after="0" w:line="240" w:lineRule="auto"/>
              <w:ind w:firstLine="113"/>
              <w:rPr>
                <w:rFonts w:ascii="Calibri" w:eastAsia="Arial" w:hAnsi="Calibri" w:cs="Arial"/>
                <w:sz w:val="20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bCs/>
                <w:color w:val="FFFFFF"/>
                <w:sz w:val="20"/>
                <w:szCs w:val="21"/>
                <w:lang w:val="de-AT"/>
              </w:rPr>
              <w:t>Lehrplanbezug</w:t>
            </w:r>
          </w:p>
        </w:tc>
      </w:tr>
      <w:tr w:rsidR="002D7D83" w:rsidRPr="00900D67" w:rsidTr="00736D1B">
        <w:trPr>
          <w:cantSplit/>
          <w:trHeight w:val="312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D67A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Februar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Der Elektromotor</w:t>
            </w:r>
          </w:p>
        </w:tc>
        <w:tc>
          <w:tcPr>
            <w:tcW w:w="4678" w:type="dxa"/>
            <w:vMerge w:val="restart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C77219" w:rsidRDefault="00285C29" w:rsidP="00C77219">
            <w:pPr>
              <w:spacing w:after="0" w:line="240" w:lineRule="auto"/>
              <w:ind w:left="250" w:right="215" w:hanging="170"/>
              <w:rPr>
                <w:sz w:val="21"/>
                <w:szCs w:val="21"/>
                <w:lang w:val="de-AT"/>
              </w:rPr>
            </w:pPr>
            <w:r w:rsidRPr="00900D67">
              <w:rPr>
                <w:sz w:val="21"/>
                <w:szCs w:val="21"/>
                <w:lang w:val="de-AT"/>
              </w:rPr>
              <w:t xml:space="preserve">• </w:t>
            </w:r>
            <w:r w:rsidR="002D7D83" w:rsidRPr="00C77219">
              <w:rPr>
                <w:sz w:val="21"/>
                <w:szCs w:val="21"/>
                <w:lang w:val="de-AT"/>
              </w:rPr>
              <w:t>Einsichten in Funktionsprinzipien technischer Geräte aus dem Interessensbereich der Schülerinnen und Schüler gewinnen (Elektromotor);</w:t>
            </w:r>
          </w:p>
          <w:p w:rsidR="002D7D83" w:rsidRPr="00900D67" w:rsidRDefault="002D7D83" w:rsidP="002D7D83">
            <w:pPr>
              <w:spacing w:after="0" w:line="240" w:lineRule="auto"/>
              <w:ind w:left="250" w:right="215" w:hanging="170"/>
              <w:rPr>
                <w:sz w:val="21"/>
                <w:szCs w:val="21"/>
                <w:lang w:val="de-AT"/>
              </w:rPr>
            </w:pPr>
            <w:r w:rsidRPr="00900D67">
              <w:rPr>
                <w:sz w:val="21"/>
                <w:szCs w:val="21"/>
                <w:lang w:val="de-AT"/>
              </w:rPr>
              <w:t>• Grundlegendes Wissen über Herstellung, Transport und „Verbrauch“ elektrischer Energie erwerben (Generator und Transformator);</w:t>
            </w:r>
          </w:p>
          <w:p w:rsidR="002D7D83" w:rsidRPr="00900D67" w:rsidRDefault="002D7D83" w:rsidP="002D7D83">
            <w:pPr>
              <w:spacing w:after="0" w:line="240" w:lineRule="auto"/>
              <w:ind w:left="250" w:right="215" w:hanging="17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sz w:val="21"/>
                <w:szCs w:val="21"/>
                <w:lang w:val="de-AT"/>
              </w:rPr>
              <w:t xml:space="preserve">• Gefahren des elektrischen </w:t>
            </w:r>
            <w:proofErr w:type="spellStart"/>
            <w:r w:rsidRPr="00900D67">
              <w:rPr>
                <w:sz w:val="21"/>
                <w:szCs w:val="21"/>
                <w:lang w:val="de-AT"/>
              </w:rPr>
              <w:t>Stromﬂusses</w:t>
            </w:r>
            <w:proofErr w:type="spellEnd"/>
            <w:r w:rsidRPr="00900D67">
              <w:rPr>
                <w:sz w:val="21"/>
                <w:szCs w:val="21"/>
                <w:lang w:val="de-AT"/>
              </w:rPr>
              <w:t xml:space="preserve"> erkennen und sicherheitsbewusstes Handeln erreichen.</w:t>
            </w:r>
          </w:p>
        </w:tc>
      </w:tr>
      <w:tr w:rsidR="002D7D83" w:rsidRPr="00900D67" w:rsidTr="00736D1B">
        <w:trPr>
          <w:cantSplit/>
          <w:trHeight w:val="312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D67A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Induktion und Generatoren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D67A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hRule="exact" w:val="567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D67A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Der Transformator – ein Umwandler für Wechselströme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D67A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hRule="exact" w:val="567"/>
        </w:trPr>
        <w:tc>
          <w:tcPr>
            <w:tcW w:w="709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D67A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Gewinnung elektrischer Energie – Dreiphasen-Wechselstrom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D67A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D67A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März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1–2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Physik verstehen im Alltag: Der Transport elektrischer Energie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D67A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312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D67A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Gefahren des elektrischen Stroms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D67A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D67A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(2)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Kondensator und Spule in Stromkreisen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D67A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hRule="exact" w:val="312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8227B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April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(2)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Mikrofon und Lautsprecher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8227B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E878AE">
        <w:trPr>
          <w:cantSplit/>
          <w:trHeight w:hRule="exact" w:val="374"/>
        </w:trPr>
        <w:tc>
          <w:tcPr>
            <w:tcW w:w="709" w:type="dxa"/>
            <w:vMerge/>
            <w:tcBorders>
              <w:left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8227B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(2)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Halbleiter, Diode</w:t>
            </w:r>
            <w:r w:rsidR="00E878AE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 xml:space="preserve">, </w:t>
            </w: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Leuchtdiode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8227B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E878AE">
        <w:trPr>
          <w:cantSplit/>
          <w:trHeight w:hRule="exact" w:val="374"/>
        </w:trPr>
        <w:tc>
          <w:tcPr>
            <w:tcW w:w="709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8227B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(2)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E878AE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Der Transistor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B8227B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655D7D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Mai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(2)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Schwingkreis – vom Senden und Empfangen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655D7D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312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655D7D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(3)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Elektromagnetische Wellen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655D7D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655D7D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(2)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Physik verstehen im Alltag: Die Nutzung der Mikrowellen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655D7D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655D7D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(2)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Physik verstehen im Alltag: Speichern und Lesen von Daten (E)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655D7D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2D7D83">
        <w:trPr>
          <w:trHeight w:hRule="exact" w:val="399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B823F0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B1B2B2"/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Times New Roman" w:cs="Times New Roman"/>
                <w:i/>
                <w:color w:val="1A1A18"/>
                <w:sz w:val="21"/>
                <w:szCs w:val="21"/>
                <w:lang w:val="de-AT"/>
              </w:rPr>
              <w:t>4. Das radioaktive Verhalten der Materie</w:t>
            </w:r>
          </w:p>
        </w:tc>
        <w:tc>
          <w:tcPr>
            <w:tcW w:w="4678" w:type="dxa"/>
            <w:vMerge w:val="restart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2D7D83">
            <w:pPr>
              <w:spacing w:after="0" w:line="240" w:lineRule="auto"/>
              <w:ind w:left="80" w:right="114"/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color w:val="1A1A18"/>
                <w:sz w:val="21"/>
                <w:szCs w:val="21"/>
                <w:lang w:val="de-AT"/>
              </w:rPr>
              <w:t>Ausgehend von Alltagsvorstellungen der Schülerinnen und Schüler soll ein grundlegendes Verständnis wichtiger Vorgänge in Atomkernen erzielt werden.</w:t>
            </w:r>
          </w:p>
          <w:p w:rsidR="002D7D83" w:rsidRPr="00900D67" w:rsidRDefault="002D7D83" w:rsidP="002D7D83">
            <w:pPr>
              <w:spacing w:after="0" w:line="240" w:lineRule="auto"/>
              <w:ind w:left="250" w:right="215" w:hanging="170"/>
              <w:rPr>
                <w:sz w:val="21"/>
                <w:szCs w:val="21"/>
                <w:lang w:val="de-AT"/>
              </w:rPr>
            </w:pPr>
            <w:r w:rsidRPr="00900D67">
              <w:rPr>
                <w:rFonts w:ascii="Calibri" w:hAnsi="Calibri"/>
                <w:sz w:val="21"/>
                <w:szCs w:val="21"/>
                <w:lang w:val="de-AT"/>
              </w:rPr>
              <w:t xml:space="preserve">• </w:t>
            </w:r>
            <w:r w:rsidRPr="00900D67">
              <w:rPr>
                <w:sz w:val="21"/>
                <w:szCs w:val="21"/>
                <w:lang w:val="de-AT"/>
              </w:rPr>
              <w:t>Einsichten in Veränderungen im Atomkern als Ursache der „Radioaktivität“ gewinnen (Eigenschaften von Alpha-, Beta- und Gammastrahlen);</w:t>
            </w:r>
          </w:p>
          <w:p w:rsidR="002D7D83" w:rsidRPr="00900D67" w:rsidRDefault="002D7D83" w:rsidP="002D7D83">
            <w:pPr>
              <w:spacing w:after="0" w:line="240" w:lineRule="auto"/>
              <w:ind w:left="250" w:right="215" w:hanging="170"/>
              <w:rPr>
                <w:sz w:val="21"/>
                <w:szCs w:val="21"/>
                <w:lang w:val="de-AT"/>
              </w:rPr>
            </w:pPr>
            <w:r w:rsidRPr="00900D67">
              <w:rPr>
                <w:sz w:val="21"/>
                <w:szCs w:val="21"/>
                <w:lang w:val="de-AT"/>
              </w:rPr>
              <w:t>• Radioaktiven Zerfall als ständig auftretenden Vorgang erkennen;</w:t>
            </w:r>
          </w:p>
          <w:p w:rsidR="002D7D83" w:rsidRPr="00900D67" w:rsidRDefault="002D7D83" w:rsidP="00E878AE">
            <w:pPr>
              <w:spacing w:after="0" w:line="240" w:lineRule="auto"/>
              <w:ind w:left="250" w:hanging="170"/>
              <w:rPr>
                <w:rFonts w:ascii="Calibri" w:hAnsi="Calibri"/>
                <w:sz w:val="21"/>
                <w:szCs w:val="21"/>
                <w:lang w:val="de-AT"/>
              </w:rPr>
            </w:pPr>
            <w:r w:rsidRPr="00900D67">
              <w:rPr>
                <w:sz w:val="21"/>
                <w:szCs w:val="21"/>
                <w:lang w:val="de-AT"/>
              </w:rPr>
              <w:t>• Grundlegende Vorgänge bei der Energieumsetzung in der Sonne, in Sternen und bei Kernreaktionen verstehen können (Kernfusion, Kernspaltung).</w:t>
            </w:r>
          </w:p>
        </w:tc>
      </w:tr>
      <w:tr w:rsidR="002D7D83" w:rsidRPr="00900D67" w:rsidTr="00736D1B">
        <w:trPr>
          <w:cantSplit/>
          <w:trHeight w:hRule="exact" w:val="312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3E432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proofErr w:type="spellStart"/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Atome</w:t>
            </w:r>
            <w:proofErr w:type="spellEnd"/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 xml:space="preserve"> – Isotope – </w:t>
            </w:r>
            <w:proofErr w:type="spellStart"/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Radioaktivität</w:t>
            </w:r>
            <w:proofErr w:type="spellEnd"/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3E432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312"/>
        </w:trPr>
        <w:tc>
          <w:tcPr>
            <w:tcW w:w="709" w:type="dxa"/>
            <w:vMerge w:val="restart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  <w:vAlign w:val="center"/>
          </w:tcPr>
          <w:p w:rsidR="002D7D83" w:rsidRPr="00900D67" w:rsidRDefault="002D7D83" w:rsidP="003E432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</w:pPr>
            <w:r w:rsidRPr="00900D67">
              <w:rPr>
                <w:rFonts w:ascii="Calibri" w:eastAsia="Arial" w:hAnsi="Calibri" w:cs="Arial"/>
                <w:b/>
                <w:color w:val="808080" w:themeColor="background1" w:themeShade="80"/>
                <w:sz w:val="21"/>
                <w:szCs w:val="21"/>
                <w:lang w:val="de-AT"/>
              </w:rPr>
              <w:t>Juni/Juli</w:t>
            </w: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0F18B7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0F18B7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Radioaktivität und Strahlungsarten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3E432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736D1B">
        <w:trPr>
          <w:cantSplit/>
          <w:trHeight w:val="312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</w:tcPr>
          <w:p w:rsidR="002D7D83" w:rsidRPr="00900D67" w:rsidRDefault="002D7D83" w:rsidP="003E432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3E4321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Die Anwendungen der Kernenergie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3E4321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  <w:tr w:rsidR="002D7D83" w:rsidRPr="00900D67" w:rsidTr="00E878AE">
        <w:trPr>
          <w:cantSplit/>
          <w:trHeight w:hRule="exact" w:val="2041"/>
        </w:trPr>
        <w:tc>
          <w:tcPr>
            <w:tcW w:w="709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textDirection w:val="btLr"/>
          </w:tcPr>
          <w:p w:rsidR="002D7D83" w:rsidRPr="00900D67" w:rsidRDefault="002D7D83" w:rsidP="000F18B7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0F18B7">
            <w:pPr>
              <w:spacing w:after="0" w:line="240" w:lineRule="auto"/>
              <w:ind w:left="80" w:right="-2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2–3</w:t>
            </w:r>
          </w:p>
        </w:tc>
        <w:tc>
          <w:tcPr>
            <w:tcW w:w="32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vAlign w:val="center"/>
          </w:tcPr>
          <w:p w:rsidR="002D7D83" w:rsidRPr="00900D67" w:rsidRDefault="002D7D83" w:rsidP="000F18B7">
            <w:pPr>
              <w:spacing w:after="0" w:line="240" w:lineRule="auto"/>
              <w:ind w:left="80"/>
              <w:rPr>
                <w:rFonts w:eastAsia="Arial" w:cs="Arial"/>
                <w:color w:val="1A1A18"/>
                <w:sz w:val="21"/>
                <w:szCs w:val="21"/>
                <w:lang w:val="de-AT"/>
              </w:rPr>
            </w:pP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Gefährdung durch radioaktive</w:t>
            </w:r>
            <w:r w:rsidR="00E878AE">
              <w:rPr>
                <w:rFonts w:eastAsia="Arial" w:cs="Arial"/>
                <w:color w:val="1A1A18"/>
                <w:sz w:val="21"/>
                <w:szCs w:val="21"/>
                <w:lang w:val="de-AT"/>
              </w:rPr>
              <w:br/>
            </w:r>
            <w:r w:rsidRPr="00900D67">
              <w:rPr>
                <w:rFonts w:eastAsia="Arial" w:cs="Arial"/>
                <w:color w:val="1A1A18"/>
                <w:sz w:val="21"/>
                <w:szCs w:val="21"/>
                <w:lang w:val="de-AT"/>
              </w:rPr>
              <w:t>Stoffe</w:t>
            </w:r>
          </w:p>
        </w:tc>
        <w:tc>
          <w:tcPr>
            <w:tcW w:w="4678" w:type="dxa"/>
            <w:vMerge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2D7D83" w:rsidRPr="00900D67" w:rsidRDefault="002D7D83" w:rsidP="000F18B7">
            <w:pPr>
              <w:spacing w:after="0" w:line="240" w:lineRule="auto"/>
              <w:rPr>
                <w:rFonts w:ascii="Calibri" w:hAnsi="Calibri"/>
                <w:sz w:val="21"/>
                <w:szCs w:val="21"/>
                <w:lang w:val="de-AT"/>
              </w:rPr>
            </w:pPr>
          </w:p>
        </w:tc>
      </w:tr>
    </w:tbl>
    <w:p w:rsidR="00AA5D58" w:rsidRPr="0041723A" w:rsidRDefault="00AA5D58" w:rsidP="0041723A">
      <w:pPr>
        <w:spacing w:before="120" w:after="0" w:line="260" w:lineRule="atLeast"/>
        <w:rPr>
          <w:rFonts w:ascii="Calibri" w:eastAsia="Arial" w:hAnsi="Calibri" w:cs="Arial"/>
          <w:b/>
          <w:lang w:val="de-AT"/>
        </w:rPr>
      </w:pPr>
      <w:r w:rsidRPr="0041723A">
        <w:rPr>
          <w:rFonts w:ascii="Calibri" w:eastAsia="Arial" w:hAnsi="Calibri" w:cs="Arial"/>
          <w:b/>
          <w:color w:val="1A1A18"/>
          <w:lang w:val="de-AT"/>
        </w:rPr>
        <w:t>Hinweise zur Jahresplanung:</w:t>
      </w:r>
    </w:p>
    <w:p w:rsidR="00E7293E" w:rsidRPr="00E878AE" w:rsidRDefault="00E7293E" w:rsidP="00E7293E">
      <w:pPr>
        <w:pStyle w:val="Listenabsatz"/>
        <w:numPr>
          <w:ilvl w:val="0"/>
          <w:numId w:val="1"/>
        </w:numPr>
        <w:spacing w:after="0" w:line="260" w:lineRule="atLeast"/>
        <w:ind w:left="284" w:hanging="284"/>
        <w:rPr>
          <w:rFonts w:ascii="Calibri" w:eastAsia="Arial" w:hAnsi="Calibri" w:cs="Arial"/>
          <w:color w:val="1A1A18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Mit (E) bezeichnete Themen sind Erweiterungsstoff im Rahmen der Basisthemen der 4. Klasse und diesen thematisch zugeordnet. Die Stundenangabe ist daher in Klammern gefasst.</w:t>
      </w:r>
    </w:p>
    <w:p w:rsidR="00E7293E" w:rsidRPr="00E878AE" w:rsidRDefault="00E7293E" w:rsidP="00E7293E">
      <w:pPr>
        <w:pStyle w:val="Listenabsatz"/>
        <w:numPr>
          <w:ilvl w:val="0"/>
          <w:numId w:val="1"/>
        </w:numPr>
        <w:spacing w:after="0" w:line="260" w:lineRule="atLeast"/>
        <w:ind w:left="284" w:hanging="284"/>
        <w:rPr>
          <w:rFonts w:ascii="Calibri" w:eastAsia="Arial" w:hAnsi="Calibri" w:cs="Arial"/>
          <w:color w:val="1A1A18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Die Themen des Erweiterungsstoffes der 4. Klasse eignen sich besonders gut für unverbindliche Übungen im Rahmen des naturwissenschaftlichen Unterrichts.</w:t>
      </w:r>
    </w:p>
    <w:p w:rsidR="00E7293E" w:rsidRPr="00E878AE" w:rsidRDefault="00E7293E" w:rsidP="00E7293E">
      <w:pPr>
        <w:pStyle w:val="Listenabsatz"/>
        <w:numPr>
          <w:ilvl w:val="0"/>
          <w:numId w:val="1"/>
        </w:numPr>
        <w:spacing w:after="0" w:line="260" w:lineRule="atLeast"/>
        <w:ind w:left="284" w:hanging="284"/>
        <w:rPr>
          <w:rFonts w:ascii="Calibri" w:eastAsia="Arial" w:hAnsi="Calibri" w:cs="Arial"/>
          <w:color w:val="1A1A18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Die Aufteilung der Unterrichtsinhalte ist nach dem Lehrbuch „Physik verstehen 4“ geordnet und ein unverbindlicher Vorschlag zur Schuljahresgestaltung. Nicht eingerechnet sind entfallende Schulstunden! Der dadurch </w:t>
      </w:r>
      <w:proofErr w:type="gramStart"/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zu streichende Lehrstoff</w:t>
      </w:r>
      <w:proofErr w:type="gramEnd"/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ist der Lehrkraft überlassen!</w:t>
      </w:r>
    </w:p>
    <w:p w:rsidR="00E7293E" w:rsidRPr="00E878AE" w:rsidRDefault="00E7293E" w:rsidP="00E7293E">
      <w:pPr>
        <w:pStyle w:val="Listenabsatz"/>
        <w:numPr>
          <w:ilvl w:val="0"/>
          <w:numId w:val="1"/>
        </w:numPr>
        <w:spacing w:after="0" w:line="260" w:lineRule="atLeast"/>
        <w:ind w:left="284" w:hanging="284"/>
        <w:rPr>
          <w:rFonts w:ascii="Calibri" w:eastAsia="Arial" w:hAnsi="Calibri" w:cs="Arial"/>
          <w:color w:val="1A1A18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Ausgegangen wird von 2 Wochenstunden Physikunterricht in der 4. Klasse.</w:t>
      </w:r>
    </w:p>
    <w:p w:rsidR="00E7293E" w:rsidRPr="00E878AE" w:rsidRDefault="00E7293E" w:rsidP="00E7293E">
      <w:pPr>
        <w:pStyle w:val="Listenabsatz"/>
        <w:numPr>
          <w:ilvl w:val="0"/>
          <w:numId w:val="1"/>
        </w:numPr>
        <w:spacing w:after="0" w:line="260" w:lineRule="atLeast"/>
        <w:ind w:left="284" w:hanging="284"/>
        <w:rPr>
          <w:rFonts w:ascii="Calibri" w:eastAsia="Arial" w:hAnsi="Calibri" w:cs="Arial"/>
          <w:color w:val="1A1A18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Der Stundenaufwand pro Thema variiert natürlich mit der Dichte der praktischen Arbeiten im Unterricht. Hält man sich an die praxisorientierte Lehrplanvorgabe (Schülerversuche, Arbeits</w:t>
      </w:r>
      <w:r w:rsid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-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geschwindigkeit der Schülerinnen und Schüler …), kann die Stundenzahl durchaus verdoppelt werden!</w:t>
      </w:r>
    </w:p>
    <w:p w:rsidR="00E7293E" w:rsidRPr="00E878AE" w:rsidRDefault="00E7293E" w:rsidP="00E7293E">
      <w:pPr>
        <w:pStyle w:val="Listenabsatz"/>
        <w:numPr>
          <w:ilvl w:val="0"/>
          <w:numId w:val="1"/>
        </w:numPr>
        <w:spacing w:after="0" w:line="260" w:lineRule="atLeast"/>
        <w:ind w:left="284" w:hanging="284"/>
        <w:rPr>
          <w:rFonts w:ascii="Calibri" w:eastAsia="Arial" w:hAnsi="Calibri" w:cs="Arial"/>
          <w:color w:val="1A1A18"/>
          <w:sz w:val="21"/>
          <w:szCs w:val="21"/>
          <w:lang w:val="de-AT"/>
        </w:rPr>
      </w:pP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Als Ergänzung zum Strahlenschutzunterricht eignet sich der Strahlenschutzratgeber, der </w:t>
      </w:r>
      <w:r w:rsidR="00877F39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kostenlos auf der Website </w:t>
      </w:r>
      <w:r w:rsidR="00E27C28">
        <w:rPr>
          <w:rFonts w:ascii="Calibri" w:eastAsia="Arial" w:hAnsi="Calibri" w:cs="Arial"/>
          <w:color w:val="1A1A18"/>
          <w:sz w:val="21"/>
          <w:szCs w:val="21"/>
          <w:lang w:val="de-AT"/>
        </w:rPr>
        <w:t>des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Bundesministerium</w:t>
      </w:r>
      <w:r w:rsidR="002209D4">
        <w:rPr>
          <w:rFonts w:ascii="Calibri" w:eastAsia="Arial" w:hAnsi="Calibri" w:cs="Arial"/>
          <w:color w:val="1A1A18"/>
          <w:sz w:val="21"/>
          <w:szCs w:val="21"/>
          <w:lang w:val="de-AT"/>
        </w:rPr>
        <w:t>s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 für Inneres </w:t>
      </w:r>
      <w:bookmarkStart w:id="0" w:name="_GoBack"/>
      <w:bookmarkEnd w:id="0"/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 xml:space="preserve">als PDF-Dokument </w:t>
      </w:r>
      <w:r w:rsidR="00BF1AFE">
        <w:rPr>
          <w:rFonts w:ascii="Calibri" w:eastAsia="Arial" w:hAnsi="Calibri" w:cs="Arial"/>
          <w:color w:val="1A1A18"/>
          <w:sz w:val="21"/>
          <w:szCs w:val="21"/>
          <w:lang w:val="de-AT"/>
        </w:rPr>
        <w:t>zur Verfügung gestellt wird</w:t>
      </w:r>
      <w:r w:rsidRPr="00E878AE">
        <w:rPr>
          <w:rFonts w:ascii="Calibri" w:eastAsia="Arial" w:hAnsi="Calibri" w:cs="Arial"/>
          <w:color w:val="1A1A18"/>
          <w:sz w:val="21"/>
          <w:szCs w:val="21"/>
          <w:lang w:val="de-AT"/>
        </w:rPr>
        <w:t>.</w:t>
      </w:r>
    </w:p>
    <w:sectPr w:rsidR="00E7293E" w:rsidRPr="00E878AE" w:rsidSect="00910722">
      <w:headerReference w:type="default" r:id="rId7"/>
      <w:footerReference w:type="default" r:id="rId8"/>
      <w:pgSz w:w="11920" w:h="16840"/>
      <w:pgMar w:top="141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FE9" w:rsidRDefault="000D1FE9" w:rsidP="008A08FE">
      <w:pPr>
        <w:spacing w:after="0" w:line="240" w:lineRule="auto"/>
      </w:pPr>
      <w:r>
        <w:separator/>
      </w:r>
    </w:p>
  </w:endnote>
  <w:endnote w:type="continuationSeparator" w:id="0">
    <w:p w:rsidR="000D1FE9" w:rsidRDefault="000D1FE9" w:rsidP="008A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79" w:rsidRPr="00D01779" w:rsidRDefault="00D01779" w:rsidP="00D01779">
    <w:pPr>
      <w:widowControl/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6E6E6E"/>
        <w:sz w:val="13"/>
        <w:szCs w:val="13"/>
        <w:lang w:val="de-AT"/>
      </w:rPr>
    </w:pPr>
    <w:r w:rsidRPr="00D01779">
      <w:rPr>
        <w:rFonts w:ascii="Calibri" w:eastAsia="Calibri" w:hAnsi="Calibri" w:cs="Times New Roman"/>
        <w:color w:val="6E6E6E"/>
        <w:sz w:val="13"/>
        <w:szCs w:val="13"/>
        <w:lang w:val="de-AT"/>
      </w:rPr>
      <w:t>© Österreichischer Bundesverlag Schulbuch GmbH &amp; Co. KG, Wien 20</w:t>
    </w:r>
    <w:r w:rsidR="00955A82">
      <w:rPr>
        <w:rFonts w:ascii="Calibri" w:eastAsia="Calibri" w:hAnsi="Calibri" w:cs="Times New Roman"/>
        <w:color w:val="6E6E6E"/>
        <w:sz w:val="13"/>
        <w:szCs w:val="13"/>
        <w:lang w:val="de-AT"/>
      </w:rPr>
      <w:t>20</w:t>
    </w:r>
    <w:r>
      <w:rPr>
        <w:rFonts w:ascii="Calibri" w:eastAsia="Calibri" w:hAnsi="Calibri" w:cs="Times New Roman"/>
        <w:color w:val="6E6E6E"/>
        <w:sz w:val="13"/>
        <w:szCs w:val="13"/>
        <w:lang w:val="de-AT"/>
      </w:rPr>
      <w:t xml:space="preserve"> | www.oebv.at | </w:t>
    </w:r>
    <w:r w:rsidR="00A66994">
      <w:rPr>
        <w:rFonts w:ascii="Calibri" w:eastAsia="Calibri" w:hAnsi="Calibri" w:cs="Times New Roman"/>
        <w:color w:val="6E6E6E"/>
        <w:sz w:val="13"/>
        <w:szCs w:val="13"/>
        <w:lang w:val="de-AT"/>
      </w:rPr>
      <w:t>Physik</w:t>
    </w:r>
    <w:r w:rsidR="00B823F0">
      <w:rPr>
        <w:rFonts w:ascii="Calibri" w:eastAsia="Calibri" w:hAnsi="Calibri" w:cs="Times New Roman"/>
        <w:color w:val="6E6E6E"/>
        <w:sz w:val="13"/>
        <w:szCs w:val="13"/>
        <w:lang w:val="de-AT"/>
      </w:rPr>
      <w:t xml:space="preserve"> verstehen </w:t>
    </w:r>
    <w:r w:rsidR="00F40D6C">
      <w:rPr>
        <w:rFonts w:ascii="Calibri" w:eastAsia="Calibri" w:hAnsi="Calibri" w:cs="Times New Roman"/>
        <w:color w:val="6E6E6E"/>
        <w:sz w:val="13"/>
        <w:szCs w:val="13"/>
        <w:lang w:val="de-AT"/>
      </w:rPr>
      <w:t>4</w:t>
    </w:r>
  </w:p>
  <w:p w:rsidR="00D01779" w:rsidRPr="00D01779" w:rsidRDefault="00D01779" w:rsidP="00D01779">
    <w:pPr>
      <w:widowControl/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3"/>
        <w:szCs w:val="13"/>
        <w:lang w:val="de-AT"/>
      </w:rPr>
    </w:pPr>
    <w:r w:rsidRPr="00D01779">
      <w:rPr>
        <w:rFonts w:ascii="Calibri" w:eastAsia="Calibri" w:hAnsi="Calibri" w:cs="Times New Roman"/>
        <w:color w:val="6E6E6E"/>
        <w:sz w:val="13"/>
        <w:szCs w:val="13"/>
        <w:lang w:val="de-AT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FE9" w:rsidRDefault="000D1FE9" w:rsidP="008A08FE">
      <w:pPr>
        <w:spacing w:after="0" w:line="240" w:lineRule="auto"/>
      </w:pPr>
      <w:r>
        <w:separator/>
      </w:r>
    </w:p>
  </w:footnote>
  <w:footnote w:type="continuationSeparator" w:id="0">
    <w:p w:rsidR="000D1FE9" w:rsidRDefault="000D1FE9" w:rsidP="008A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2F" w:rsidRDefault="00D3482F" w:rsidP="008A08FE">
    <w:pPr>
      <w:spacing w:after="100"/>
      <w:rPr>
        <w:rFonts w:ascii="Calibri" w:hAnsi="Calibri"/>
        <w:b/>
        <w:sz w:val="24"/>
        <w:szCs w:val="26"/>
        <w:lang w:val="de-AT"/>
      </w:rPr>
    </w:pPr>
  </w:p>
  <w:p w:rsidR="008A08FE" w:rsidRPr="009A5D96" w:rsidRDefault="008A08FE" w:rsidP="008A08FE">
    <w:pPr>
      <w:spacing w:after="100"/>
      <w:rPr>
        <w:rFonts w:ascii="Calibri" w:hAnsi="Calibri"/>
        <w:b/>
        <w:sz w:val="28"/>
        <w:szCs w:val="26"/>
        <w:lang w:val="de-AT"/>
      </w:rPr>
    </w:pPr>
    <w:r w:rsidRPr="009A5D96">
      <w:rPr>
        <w:rFonts w:ascii="Calibri" w:hAnsi="Calibri"/>
        <w:b/>
        <w:sz w:val="28"/>
        <w:szCs w:val="26"/>
        <w:lang w:val="de-AT"/>
      </w:rPr>
      <w:t>Vorschlag einer Jah</w:t>
    </w:r>
    <w:r w:rsidR="00451413">
      <w:rPr>
        <w:rFonts w:ascii="Calibri" w:hAnsi="Calibri"/>
        <w:b/>
        <w:sz w:val="28"/>
        <w:szCs w:val="26"/>
        <w:lang w:val="de-AT"/>
      </w:rPr>
      <w:t xml:space="preserve">resplanung zu Physik verstehen </w:t>
    </w:r>
    <w:r w:rsidR="00F40D6C">
      <w:rPr>
        <w:rFonts w:ascii="Calibri" w:hAnsi="Calibri"/>
        <w:b/>
        <w:sz w:val="28"/>
        <w:szCs w:val="26"/>
        <w:lang w:val="de-A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3774E"/>
    <w:multiLevelType w:val="hybridMultilevel"/>
    <w:tmpl w:val="5760926C"/>
    <w:lvl w:ilvl="0" w:tplc="0C07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5A5"/>
    <w:rsid w:val="0000250D"/>
    <w:rsid w:val="000135D5"/>
    <w:rsid w:val="000360FF"/>
    <w:rsid w:val="00053181"/>
    <w:rsid w:val="000A3314"/>
    <w:rsid w:val="000B358F"/>
    <w:rsid w:val="000D1FE9"/>
    <w:rsid w:val="000F18B7"/>
    <w:rsid w:val="0013329C"/>
    <w:rsid w:val="00185899"/>
    <w:rsid w:val="00185BBD"/>
    <w:rsid w:val="00186AF4"/>
    <w:rsid w:val="001A00E5"/>
    <w:rsid w:val="001A268D"/>
    <w:rsid w:val="001B0956"/>
    <w:rsid w:val="001D108F"/>
    <w:rsid w:val="002209D4"/>
    <w:rsid w:val="00246B66"/>
    <w:rsid w:val="002631AC"/>
    <w:rsid w:val="00285C29"/>
    <w:rsid w:val="002866C3"/>
    <w:rsid w:val="00286B1E"/>
    <w:rsid w:val="00287A6A"/>
    <w:rsid w:val="002D1F4B"/>
    <w:rsid w:val="002D7D83"/>
    <w:rsid w:val="00305D83"/>
    <w:rsid w:val="00327F6F"/>
    <w:rsid w:val="00335ABE"/>
    <w:rsid w:val="003443D8"/>
    <w:rsid w:val="00354BB0"/>
    <w:rsid w:val="00357B44"/>
    <w:rsid w:val="003A5C26"/>
    <w:rsid w:val="003C5EE3"/>
    <w:rsid w:val="003E4321"/>
    <w:rsid w:val="003E5117"/>
    <w:rsid w:val="003F2C8C"/>
    <w:rsid w:val="00400F89"/>
    <w:rsid w:val="00404316"/>
    <w:rsid w:val="00406A99"/>
    <w:rsid w:val="004123E6"/>
    <w:rsid w:val="0041723A"/>
    <w:rsid w:val="00434D9C"/>
    <w:rsid w:val="004471C8"/>
    <w:rsid w:val="00451413"/>
    <w:rsid w:val="0046171E"/>
    <w:rsid w:val="004954AD"/>
    <w:rsid w:val="004A5093"/>
    <w:rsid w:val="004C41A3"/>
    <w:rsid w:val="004D5316"/>
    <w:rsid w:val="004D5C5A"/>
    <w:rsid w:val="004E0C5B"/>
    <w:rsid w:val="00502ADE"/>
    <w:rsid w:val="00544A6F"/>
    <w:rsid w:val="00545639"/>
    <w:rsid w:val="005521DA"/>
    <w:rsid w:val="005679BF"/>
    <w:rsid w:val="00573376"/>
    <w:rsid w:val="005855BB"/>
    <w:rsid w:val="005959E1"/>
    <w:rsid w:val="005A17CA"/>
    <w:rsid w:val="005A42CF"/>
    <w:rsid w:val="005A44EB"/>
    <w:rsid w:val="005A72C9"/>
    <w:rsid w:val="005D342F"/>
    <w:rsid w:val="006019D0"/>
    <w:rsid w:val="00604DED"/>
    <w:rsid w:val="00614B50"/>
    <w:rsid w:val="00615CC2"/>
    <w:rsid w:val="00655D7D"/>
    <w:rsid w:val="006619BA"/>
    <w:rsid w:val="00686301"/>
    <w:rsid w:val="006A314C"/>
    <w:rsid w:val="006B5FE4"/>
    <w:rsid w:val="006F0A98"/>
    <w:rsid w:val="00736D1B"/>
    <w:rsid w:val="00754B9B"/>
    <w:rsid w:val="00763656"/>
    <w:rsid w:val="00765C42"/>
    <w:rsid w:val="00771375"/>
    <w:rsid w:val="0079709B"/>
    <w:rsid w:val="007A38D7"/>
    <w:rsid w:val="00817A7F"/>
    <w:rsid w:val="0085403A"/>
    <w:rsid w:val="00877F39"/>
    <w:rsid w:val="0089731D"/>
    <w:rsid w:val="008A08FE"/>
    <w:rsid w:val="008E1FA7"/>
    <w:rsid w:val="008F45A5"/>
    <w:rsid w:val="008F5D05"/>
    <w:rsid w:val="00900D67"/>
    <w:rsid w:val="0090799A"/>
    <w:rsid w:val="00910722"/>
    <w:rsid w:val="00930CDA"/>
    <w:rsid w:val="00954AB5"/>
    <w:rsid w:val="00955A82"/>
    <w:rsid w:val="00960B60"/>
    <w:rsid w:val="00962874"/>
    <w:rsid w:val="00984779"/>
    <w:rsid w:val="009A5D96"/>
    <w:rsid w:val="009D713D"/>
    <w:rsid w:val="009E24A8"/>
    <w:rsid w:val="009F376A"/>
    <w:rsid w:val="00A22AEF"/>
    <w:rsid w:val="00A42ECC"/>
    <w:rsid w:val="00A66994"/>
    <w:rsid w:val="00A930BE"/>
    <w:rsid w:val="00AA5D58"/>
    <w:rsid w:val="00AB0E37"/>
    <w:rsid w:val="00AF4386"/>
    <w:rsid w:val="00AF4BBF"/>
    <w:rsid w:val="00B067B1"/>
    <w:rsid w:val="00B21EC5"/>
    <w:rsid w:val="00B3618B"/>
    <w:rsid w:val="00B40C41"/>
    <w:rsid w:val="00B66022"/>
    <w:rsid w:val="00B8227B"/>
    <w:rsid w:val="00B823F0"/>
    <w:rsid w:val="00B91568"/>
    <w:rsid w:val="00BD67A1"/>
    <w:rsid w:val="00BF1AFE"/>
    <w:rsid w:val="00C039B6"/>
    <w:rsid w:val="00C32E73"/>
    <w:rsid w:val="00C34A04"/>
    <w:rsid w:val="00C77219"/>
    <w:rsid w:val="00C80131"/>
    <w:rsid w:val="00CC552A"/>
    <w:rsid w:val="00D01779"/>
    <w:rsid w:val="00D03EED"/>
    <w:rsid w:val="00D17987"/>
    <w:rsid w:val="00D2105F"/>
    <w:rsid w:val="00D27CA3"/>
    <w:rsid w:val="00D3482F"/>
    <w:rsid w:val="00D37EE2"/>
    <w:rsid w:val="00D45DE6"/>
    <w:rsid w:val="00DA2137"/>
    <w:rsid w:val="00DD636D"/>
    <w:rsid w:val="00DF61D4"/>
    <w:rsid w:val="00E27C28"/>
    <w:rsid w:val="00E34959"/>
    <w:rsid w:val="00E475B7"/>
    <w:rsid w:val="00E518F9"/>
    <w:rsid w:val="00E70575"/>
    <w:rsid w:val="00E7293E"/>
    <w:rsid w:val="00E878AE"/>
    <w:rsid w:val="00EA2642"/>
    <w:rsid w:val="00EB3E3A"/>
    <w:rsid w:val="00EB6D52"/>
    <w:rsid w:val="00EC437C"/>
    <w:rsid w:val="00EE70EA"/>
    <w:rsid w:val="00EF2E56"/>
    <w:rsid w:val="00EF4E79"/>
    <w:rsid w:val="00EF64EA"/>
    <w:rsid w:val="00F2085D"/>
    <w:rsid w:val="00F23285"/>
    <w:rsid w:val="00F317F1"/>
    <w:rsid w:val="00F40D6C"/>
    <w:rsid w:val="00F70E65"/>
    <w:rsid w:val="00FB620E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93C737B"/>
  <w15:docId w15:val="{60943530-48CB-4753-96C8-D6436A3A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43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A0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08FE"/>
  </w:style>
  <w:style w:type="paragraph" w:styleId="Fuzeile">
    <w:name w:val="footer"/>
    <w:basedOn w:val="Standard"/>
    <w:link w:val="FuzeileZchn"/>
    <w:uiPriority w:val="99"/>
    <w:unhideWhenUsed/>
    <w:rsid w:val="008A0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phv2lb_10236_S001-048_CC2018_02KORR.indd</vt:lpstr>
    </vt:vector>
  </TitlesOfParts>
  <Company>Hewlett-Packard Company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phv2lb_10236_S001-048_CC2018_02KORR.indd</dc:title>
  <dc:creator>Nemecek, Dipl.-Ing. Sandra</dc:creator>
  <cp:lastModifiedBy>Nemecek, Dipl.-Ing. Sandra</cp:lastModifiedBy>
  <cp:revision>99</cp:revision>
  <cp:lastPrinted>2019-05-14T12:54:00Z</cp:lastPrinted>
  <dcterms:created xsi:type="dcterms:W3CDTF">2019-01-11T10:14:00Z</dcterms:created>
  <dcterms:modified xsi:type="dcterms:W3CDTF">2019-05-14T13:07:00Z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2019-01-11T00:00:00Z</vt:filetime>
  </property>
</Properties>
</file>