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8B81" w14:textId="09F51737" w:rsidR="005E669E" w:rsidRPr="00DC23C1" w:rsidRDefault="005E669E" w:rsidP="005E669E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DC23C1">
        <w:rPr>
          <w:rFonts w:asciiTheme="minorHAnsi" w:hAnsiTheme="minorHAnsi" w:cstheme="minorHAnsi"/>
          <w:b/>
          <w:bCs/>
          <w:sz w:val="36"/>
          <w:szCs w:val="36"/>
        </w:rPr>
        <w:t>Vorschlag einer Jahresplanung zu BioTOP 4</w:t>
      </w:r>
    </w:p>
    <w:p w14:paraId="6E9CCC7F" w14:textId="3471C6F2" w:rsidR="005E669E" w:rsidRPr="00DC23C1" w:rsidRDefault="005E669E" w:rsidP="005E669E">
      <w:pPr>
        <w:spacing w:after="0" w:line="240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tbl>
      <w:tblPr>
        <w:tblStyle w:val="TableNormal"/>
        <w:tblW w:w="10223" w:type="dxa"/>
        <w:tblInd w:w="-572" w:type="dxa"/>
        <w:tblBorders>
          <w:top w:val="single" w:sz="4" w:space="0" w:color="181715"/>
          <w:left w:val="single" w:sz="4" w:space="0" w:color="181715"/>
          <w:bottom w:val="single" w:sz="4" w:space="0" w:color="181715"/>
          <w:right w:val="single" w:sz="4" w:space="0" w:color="181715"/>
          <w:insideH w:val="single" w:sz="4" w:space="0" w:color="181715"/>
          <w:insideV w:val="single" w:sz="4" w:space="0" w:color="181715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417"/>
        <w:gridCol w:w="539"/>
        <w:gridCol w:w="2875"/>
        <w:gridCol w:w="1032"/>
        <w:gridCol w:w="4360"/>
      </w:tblGrid>
      <w:tr w:rsidR="005E669E" w:rsidRPr="00DC23C1" w14:paraId="26841B7E" w14:textId="77777777" w:rsidTr="004C1071">
        <w:trPr>
          <w:trHeight w:val="374"/>
        </w:trPr>
        <w:tc>
          <w:tcPr>
            <w:tcW w:w="1417" w:type="dxa"/>
            <w:tcBorders>
              <w:bottom w:val="single" w:sz="12" w:space="0" w:color="181715"/>
            </w:tcBorders>
            <w:shd w:val="clear" w:color="auto" w:fill="auto"/>
            <w:vAlign w:val="center"/>
          </w:tcPr>
          <w:p w14:paraId="105E0F10" w14:textId="77777777" w:rsidR="005E669E" w:rsidRPr="00DC23C1" w:rsidRDefault="005E669E" w:rsidP="00DC23C1">
            <w:pPr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Monat</w:t>
            </w:r>
          </w:p>
        </w:tc>
        <w:tc>
          <w:tcPr>
            <w:tcW w:w="539" w:type="dxa"/>
            <w:tcBorders>
              <w:bottom w:val="single" w:sz="12" w:space="0" w:color="181715"/>
            </w:tcBorders>
            <w:shd w:val="clear" w:color="auto" w:fill="auto"/>
            <w:vAlign w:val="center"/>
          </w:tcPr>
          <w:p w14:paraId="03749416" w14:textId="77777777" w:rsidR="005E669E" w:rsidRPr="00DC23C1" w:rsidRDefault="005E669E" w:rsidP="008D2D13">
            <w:pPr>
              <w:jc w:val="center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Std.</w:t>
            </w:r>
          </w:p>
        </w:tc>
        <w:tc>
          <w:tcPr>
            <w:tcW w:w="2875" w:type="dxa"/>
            <w:tcBorders>
              <w:bottom w:val="single" w:sz="12" w:space="0" w:color="181715"/>
            </w:tcBorders>
            <w:shd w:val="clear" w:color="auto" w:fill="auto"/>
            <w:vAlign w:val="center"/>
          </w:tcPr>
          <w:p w14:paraId="2A61B71B" w14:textId="77777777" w:rsidR="005E669E" w:rsidRPr="00DC23C1" w:rsidRDefault="005E669E" w:rsidP="008D2D13">
            <w:pPr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Kapitel</w:t>
            </w:r>
          </w:p>
        </w:tc>
        <w:tc>
          <w:tcPr>
            <w:tcW w:w="1032" w:type="dxa"/>
            <w:tcBorders>
              <w:bottom w:val="single" w:sz="12" w:space="0" w:color="181715"/>
            </w:tcBorders>
            <w:shd w:val="clear" w:color="auto" w:fill="auto"/>
            <w:vAlign w:val="center"/>
          </w:tcPr>
          <w:p w14:paraId="01BA599C" w14:textId="0E7DBB1B" w:rsidR="005E669E" w:rsidRPr="00DC23C1" w:rsidRDefault="005E669E" w:rsidP="008D2D13">
            <w:pPr>
              <w:jc w:val="center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Seite</w:t>
            </w:r>
            <w:r w:rsidR="00D02C93" w:rsidRPr="00DC23C1">
              <w:rPr>
                <w:rFonts w:asciiTheme="minorHAnsi" w:eastAsia="Arial" w:hAnsiTheme="minorHAnsi" w:cstheme="minorHAnsi"/>
                <w:b/>
                <w:lang w:val="de-DE"/>
              </w:rPr>
              <w:t>n</w:t>
            </w:r>
          </w:p>
        </w:tc>
        <w:tc>
          <w:tcPr>
            <w:tcW w:w="4360" w:type="dxa"/>
            <w:tcBorders>
              <w:bottom w:val="single" w:sz="12" w:space="0" w:color="181715"/>
            </w:tcBorders>
            <w:shd w:val="clear" w:color="auto" w:fill="auto"/>
            <w:vAlign w:val="center"/>
          </w:tcPr>
          <w:p w14:paraId="650C5E22" w14:textId="77777777" w:rsidR="005E669E" w:rsidRPr="00DC23C1" w:rsidRDefault="005E669E" w:rsidP="00D13555">
            <w:pPr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Lehrplanbezug</w:t>
            </w:r>
          </w:p>
        </w:tc>
      </w:tr>
      <w:tr w:rsidR="00987DBA" w:rsidRPr="00DC23C1" w14:paraId="275431BD" w14:textId="77777777" w:rsidTr="004C1071">
        <w:trPr>
          <w:trHeight w:val="374"/>
        </w:trPr>
        <w:tc>
          <w:tcPr>
            <w:tcW w:w="1417" w:type="dxa"/>
            <w:tcBorders>
              <w:top w:val="single" w:sz="12" w:space="0" w:color="181715"/>
            </w:tcBorders>
            <w:shd w:val="clear" w:color="auto" w:fill="E7ABC5"/>
          </w:tcPr>
          <w:p w14:paraId="351F72C9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128363D6" w14:textId="77777777" w:rsidR="00987DBA" w:rsidRPr="00DC23C1" w:rsidRDefault="00987DBA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2875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5599C1E9" w14:textId="77777777" w:rsidR="00987DBA" w:rsidRPr="00DC23C1" w:rsidRDefault="00987DBA" w:rsidP="008D2D13">
            <w:pPr>
              <w:spacing w:before="68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Mensch</w:t>
            </w:r>
          </w:p>
        </w:tc>
        <w:tc>
          <w:tcPr>
            <w:tcW w:w="1032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06B0F831" w14:textId="77777777" w:rsidR="00987DBA" w:rsidRPr="00DC23C1" w:rsidRDefault="00987DBA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4360" w:type="dxa"/>
            <w:vMerge w:val="restart"/>
            <w:tcBorders>
              <w:top w:val="single" w:sz="12" w:space="0" w:color="181715"/>
            </w:tcBorders>
            <w:vAlign w:val="center"/>
          </w:tcPr>
          <w:p w14:paraId="7593CF14" w14:textId="77777777" w:rsidR="00987DBA" w:rsidRDefault="00987DBA" w:rsidP="00D13555">
            <w:pPr>
              <w:spacing w:before="41"/>
              <w:ind w:right="182"/>
              <w:rPr>
                <w:rFonts w:asciiTheme="minorHAnsi" w:eastAsia="Times New Roman" w:hAnsiTheme="minorHAnsi" w:cstheme="minorHAnsi"/>
                <w:lang w:val="de-AT"/>
              </w:rPr>
            </w:pPr>
            <w:r w:rsidRPr="00DC23C1">
              <w:rPr>
                <w:rFonts w:asciiTheme="minorHAnsi" w:eastAsia="Arial" w:hAnsiTheme="minorHAnsi" w:cstheme="minorHAnsi"/>
                <w:lang w:val="de-DE"/>
              </w:rPr>
              <w:t>Die</w:t>
            </w:r>
            <w:r w:rsidRPr="00DC23C1">
              <w:rPr>
                <w:rFonts w:asciiTheme="minorHAnsi" w:eastAsia="Arial" w:hAnsiTheme="minorHAnsi" w:cstheme="minorHAnsi"/>
                <w:spacing w:val="53"/>
                <w:lang w:val="de-DE"/>
              </w:rPr>
              <w:t xml:space="preserve"> </w:t>
            </w:r>
            <w:r w:rsidRPr="00E75148">
              <w:rPr>
                <w:rFonts w:asciiTheme="minorHAnsi" w:eastAsia="Times New Roman" w:hAnsiTheme="minorHAnsi" w:cstheme="minorHAnsi"/>
                <w:lang w:val="de-AT"/>
              </w:rPr>
              <w:t>Kenntnisse über Bau und Funktion des menschlichen Körpers (einschließlich der Themenfelder Gesundheit und Krankheit, Psychosomatik und Immunsystem) sind zu erweitern und zu vervollständigen.</w:t>
            </w:r>
          </w:p>
          <w:p w14:paraId="309503C2" w14:textId="77777777" w:rsidR="00987DBA" w:rsidRDefault="00987DBA" w:rsidP="00D13555">
            <w:pPr>
              <w:spacing w:before="41"/>
              <w:ind w:right="182"/>
              <w:rPr>
                <w:rFonts w:asciiTheme="minorHAnsi" w:eastAsia="Times New Roman" w:hAnsiTheme="minorHAnsi" w:cstheme="minorHAnsi"/>
                <w:lang w:val="de-AT"/>
              </w:rPr>
            </w:pPr>
          </w:p>
          <w:p w14:paraId="38517076" w14:textId="5FBDEF75" w:rsidR="00987DBA" w:rsidRPr="00DC23C1" w:rsidRDefault="00987DBA" w:rsidP="00D13555">
            <w:pPr>
              <w:spacing w:before="41"/>
              <w:ind w:right="182"/>
              <w:rPr>
                <w:rFonts w:asciiTheme="minorHAnsi" w:eastAsia="Arial" w:hAnsiTheme="minorHAnsi" w:cstheme="minorHAnsi"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>Sexualität: Unter Einbeziehung der Interessen der Schülerinnen und Schüler sind folgende Themen zu behandeln: Sexualität als biologisches, psychologisches und soziales Phänomen, Empfängnisregelung, Schwangerschaft</w:t>
            </w:r>
            <w:r w:rsidRPr="00DC23C1">
              <w:rPr>
                <w:rFonts w:asciiTheme="minorHAnsi" w:eastAsia="Arial" w:hAnsiTheme="minorHAnsi" w:cstheme="minorHAnsi"/>
                <w:lang w:val="de-DE"/>
              </w:rPr>
              <w:t>,</w:t>
            </w:r>
            <w:r w:rsidRPr="00DC23C1">
              <w:rPr>
                <w:rFonts w:asciiTheme="minorHAnsi" w:eastAsia="Arial" w:hAnsiTheme="minorHAnsi" w:cstheme="minorHAnsi"/>
                <w:spacing w:val="1"/>
                <w:lang w:val="de-DE"/>
              </w:rPr>
              <w:t xml:space="preserve"> </w:t>
            </w:r>
            <w:r w:rsidRPr="00DC23C1">
              <w:rPr>
                <w:rFonts w:asciiTheme="minorHAnsi" w:eastAsia="Arial" w:hAnsiTheme="minorHAnsi" w:cstheme="minorHAnsi"/>
                <w:lang w:val="de-DE"/>
              </w:rPr>
              <w:t>Geburt;</w:t>
            </w:r>
            <w:r w:rsidRPr="00DC23C1">
              <w:rPr>
                <w:rFonts w:asciiTheme="minorHAnsi" w:eastAsia="Arial" w:hAnsiTheme="minorHAnsi" w:cstheme="minorHAnsi"/>
                <w:spacing w:val="-1"/>
                <w:lang w:val="de-DE"/>
              </w:rPr>
              <w:t xml:space="preserve"> </w:t>
            </w:r>
            <w:r w:rsidRPr="00DC23C1">
              <w:rPr>
                <w:rFonts w:asciiTheme="minorHAnsi" w:eastAsia="Arial" w:hAnsiTheme="minorHAnsi" w:cstheme="minorHAnsi"/>
                <w:lang w:val="de-DE"/>
              </w:rPr>
              <w:t>AIDS-Prophylaxe.</w:t>
            </w:r>
          </w:p>
        </w:tc>
      </w:tr>
      <w:tr w:rsidR="00987DBA" w:rsidRPr="00DC23C1" w14:paraId="6CA4934C" w14:textId="77777777" w:rsidTr="004C1071">
        <w:trPr>
          <w:trHeight w:val="374"/>
        </w:trPr>
        <w:tc>
          <w:tcPr>
            <w:tcW w:w="1417" w:type="dxa"/>
          </w:tcPr>
          <w:p w14:paraId="6404F574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D493C28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6D959C47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Der Körperbau</w:t>
            </w:r>
          </w:p>
        </w:tc>
        <w:tc>
          <w:tcPr>
            <w:tcW w:w="1032" w:type="dxa"/>
            <w:vAlign w:val="center"/>
          </w:tcPr>
          <w:p w14:paraId="1F993027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6–7</w:t>
            </w:r>
          </w:p>
        </w:tc>
        <w:tc>
          <w:tcPr>
            <w:tcW w:w="4360" w:type="dxa"/>
            <w:vMerge/>
            <w:vAlign w:val="center"/>
          </w:tcPr>
          <w:p w14:paraId="52D9126C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235B6B1D" w14:textId="77777777" w:rsidTr="004C1071">
        <w:trPr>
          <w:trHeight w:val="374"/>
        </w:trPr>
        <w:tc>
          <w:tcPr>
            <w:tcW w:w="1417" w:type="dxa"/>
          </w:tcPr>
          <w:p w14:paraId="00B3B131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8A14B8B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EDBC374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Skelett</w:t>
            </w:r>
          </w:p>
        </w:tc>
        <w:tc>
          <w:tcPr>
            <w:tcW w:w="1032" w:type="dxa"/>
            <w:vAlign w:val="center"/>
          </w:tcPr>
          <w:p w14:paraId="3FE601B6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8–9</w:t>
            </w:r>
          </w:p>
        </w:tc>
        <w:tc>
          <w:tcPr>
            <w:tcW w:w="4360" w:type="dxa"/>
            <w:vMerge/>
            <w:vAlign w:val="center"/>
          </w:tcPr>
          <w:p w14:paraId="75DC66A9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1FA0B99E" w14:textId="77777777" w:rsidTr="004C1071">
        <w:trPr>
          <w:trHeight w:val="374"/>
        </w:trPr>
        <w:tc>
          <w:tcPr>
            <w:tcW w:w="1417" w:type="dxa"/>
          </w:tcPr>
          <w:p w14:paraId="05290BFC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2BD6ADD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07B94920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Knochenverbindungen</w:t>
            </w:r>
          </w:p>
        </w:tc>
        <w:tc>
          <w:tcPr>
            <w:tcW w:w="1032" w:type="dxa"/>
            <w:vAlign w:val="center"/>
          </w:tcPr>
          <w:p w14:paraId="6A3703E0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10–11</w:t>
            </w:r>
          </w:p>
        </w:tc>
        <w:tc>
          <w:tcPr>
            <w:tcW w:w="4360" w:type="dxa"/>
            <w:vMerge/>
            <w:vAlign w:val="center"/>
          </w:tcPr>
          <w:p w14:paraId="5B9C8B81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700D9761" w14:textId="77777777" w:rsidTr="004C1071">
        <w:trPr>
          <w:trHeight w:val="374"/>
        </w:trPr>
        <w:tc>
          <w:tcPr>
            <w:tcW w:w="1417" w:type="dxa"/>
          </w:tcPr>
          <w:p w14:paraId="73FDAF7F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64297D1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3C7105C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Skelettregionen</w:t>
            </w:r>
          </w:p>
        </w:tc>
        <w:tc>
          <w:tcPr>
            <w:tcW w:w="1032" w:type="dxa"/>
            <w:vAlign w:val="center"/>
          </w:tcPr>
          <w:p w14:paraId="26CB4E53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12–13</w:t>
            </w:r>
          </w:p>
        </w:tc>
        <w:tc>
          <w:tcPr>
            <w:tcW w:w="4360" w:type="dxa"/>
            <w:vMerge/>
            <w:vAlign w:val="center"/>
          </w:tcPr>
          <w:p w14:paraId="608882C5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4844169A" w14:textId="77777777" w:rsidTr="004C1071">
        <w:trPr>
          <w:trHeight w:val="374"/>
        </w:trPr>
        <w:tc>
          <w:tcPr>
            <w:tcW w:w="1417" w:type="dxa"/>
          </w:tcPr>
          <w:p w14:paraId="54755FF2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5EE9C8F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1DF8E508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Muskulatur</w:t>
            </w:r>
          </w:p>
        </w:tc>
        <w:tc>
          <w:tcPr>
            <w:tcW w:w="1032" w:type="dxa"/>
            <w:vAlign w:val="center"/>
          </w:tcPr>
          <w:p w14:paraId="70771787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14–15</w:t>
            </w:r>
          </w:p>
        </w:tc>
        <w:tc>
          <w:tcPr>
            <w:tcW w:w="4360" w:type="dxa"/>
            <w:vMerge/>
            <w:vAlign w:val="center"/>
          </w:tcPr>
          <w:p w14:paraId="23CE9C04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57C344DB" w14:textId="77777777" w:rsidTr="004C1071">
        <w:trPr>
          <w:trHeight w:val="374"/>
        </w:trPr>
        <w:tc>
          <w:tcPr>
            <w:tcW w:w="1417" w:type="dxa"/>
          </w:tcPr>
          <w:p w14:paraId="7723E0EB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6788272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831189E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vAlign w:val="center"/>
          </w:tcPr>
          <w:p w14:paraId="1E8A50FF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16–17</w:t>
            </w:r>
          </w:p>
        </w:tc>
        <w:tc>
          <w:tcPr>
            <w:tcW w:w="4360" w:type="dxa"/>
            <w:vMerge/>
            <w:vAlign w:val="center"/>
          </w:tcPr>
          <w:p w14:paraId="3B521A2F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358DBFE0" w14:textId="77777777" w:rsidTr="004C1071">
        <w:trPr>
          <w:trHeight w:val="374"/>
        </w:trPr>
        <w:tc>
          <w:tcPr>
            <w:tcW w:w="1417" w:type="dxa"/>
          </w:tcPr>
          <w:p w14:paraId="79355FD8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FAADCF4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8EB3D4E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Ernährung</w:t>
            </w:r>
          </w:p>
        </w:tc>
        <w:tc>
          <w:tcPr>
            <w:tcW w:w="1032" w:type="dxa"/>
            <w:vAlign w:val="center"/>
          </w:tcPr>
          <w:p w14:paraId="639BA9CF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18–19</w:t>
            </w:r>
          </w:p>
        </w:tc>
        <w:tc>
          <w:tcPr>
            <w:tcW w:w="4360" w:type="dxa"/>
            <w:vMerge/>
            <w:vAlign w:val="center"/>
          </w:tcPr>
          <w:p w14:paraId="65CE472F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4A6D36FF" w14:textId="77777777" w:rsidTr="004C1071">
        <w:trPr>
          <w:trHeight w:val="374"/>
        </w:trPr>
        <w:tc>
          <w:tcPr>
            <w:tcW w:w="1417" w:type="dxa"/>
          </w:tcPr>
          <w:p w14:paraId="1A06BA23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F1F8851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7BD365C" w14:textId="6C1229D8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Ernährungsarten</w:t>
            </w:r>
          </w:p>
        </w:tc>
        <w:tc>
          <w:tcPr>
            <w:tcW w:w="1032" w:type="dxa"/>
            <w:vAlign w:val="center"/>
          </w:tcPr>
          <w:p w14:paraId="40DB4455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20–21</w:t>
            </w:r>
          </w:p>
        </w:tc>
        <w:tc>
          <w:tcPr>
            <w:tcW w:w="4360" w:type="dxa"/>
            <w:vMerge/>
            <w:vAlign w:val="center"/>
          </w:tcPr>
          <w:p w14:paraId="36D953B6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59718F29" w14:textId="77777777" w:rsidTr="004C1071">
        <w:trPr>
          <w:trHeight w:val="374"/>
        </w:trPr>
        <w:tc>
          <w:tcPr>
            <w:tcW w:w="1417" w:type="dxa"/>
          </w:tcPr>
          <w:p w14:paraId="5AE3B239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C390986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632F4B32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Verdauungssystem</w:t>
            </w:r>
          </w:p>
        </w:tc>
        <w:tc>
          <w:tcPr>
            <w:tcW w:w="1032" w:type="dxa"/>
            <w:vAlign w:val="center"/>
          </w:tcPr>
          <w:p w14:paraId="28649E33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22–23</w:t>
            </w:r>
          </w:p>
        </w:tc>
        <w:tc>
          <w:tcPr>
            <w:tcW w:w="4360" w:type="dxa"/>
            <w:vMerge/>
            <w:vAlign w:val="center"/>
          </w:tcPr>
          <w:p w14:paraId="3715C69F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793210D8" w14:textId="77777777" w:rsidTr="004C1071">
        <w:trPr>
          <w:trHeight w:val="374"/>
        </w:trPr>
        <w:tc>
          <w:tcPr>
            <w:tcW w:w="1417" w:type="dxa"/>
          </w:tcPr>
          <w:p w14:paraId="748E0A15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825C0F1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B679406" w14:textId="0442B240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Ernährung, Verdauung und Krankheit</w:t>
            </w:r>
          </w:p>
        </w:tc>
        <w:tc>
          <w:tcPr>
            <w:tcW w:w="1032" w:type="dxa"/>
            <w:vAlign w:val="center"/>
          </w:tcPr>
          <w:p w14:paraId="3FA6860B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24–25</w:t>
            </w:r>
          </w:p>
        </w:tc>
        <w:tc>
          <w:tcPr>
            <w:tcW w:w="4360" w:type="dxa"/>
            <w:vMerge/>
            <w:vAlign w:val="center"/>
          </w:tcPr>
          <w:p w14:paraId="727121FE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0E52177C" w14:textId="77777777" w:rsidTr="004C1071">
        <w:trPr>
          <w:trHeight w:val="374"/>
        </w:trPr>
        <w:tc>
          <w:tcPr>
            <w:tcW w:w="1417" w:type="dxa"/>
          </w:tcPr>
          <w:p w14:paraId="10BD2D2D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47AD0D1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36A9C7FB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Ausscheidungssystem</w:t>
            </w:r>
          </w:p>
        </w:tc>
        <w:tc>
          <w:tcPr>
            <w:tcW w:w="1032" w:type="dxa"/>
            <w:vAlign w:val="center"/>
          </w:tcPr>
          <w:p w14:paraId="2A69AACC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26–27</w:t>
            </w:r>
          </w:p>
        </w:tc>
        <w:tc>
          <w:tcPr>
            <w:tcW w:w="4360" w:type="dxa"/>
            <w:vMerge/>
            <w:vAlign w:val="center"/>
          </w:tcPr>
          <w:p w14:paraId="32CA19F2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0726E514" w14:textId="77777777" w:rsidTr="004C1071">
        <w:trPr>
          <w:trHeight w:val="374"/>
        </w:trPr>
        <w:tc>
          <w:tcPr>
            <w:tcW w:w="1417" w:type="dxa"/>
          </w:tcPr>
          <w:p w14:paraId="7E5B96DB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AB75336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05FFF7A4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Atmungssystem</w:t>
            </w:r>
          </w:p>
        </w:tc>
        <w:tc>
          <w:tcPr>
            <w:tcW w:w="1032" w:type="dxa"/>
            <w:vAlign w:val="center"/>
          </w:tcPr>
          <w:p w14:paraId="47CC0AD2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28–29</w:t>
            </w:r>
          </w:p>
        </w:tc>
        <w:tc>
          <w:tcPr>
            <w:tcW w:w="4360" w:type="dxa"/>
            <w:vMerge/>
            <w:vAlign w:val="center"/>
          </w:tcPr>
          <w:p w14:paraId="79C7F5A0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481275D5" w14:textId="77777777" w:rsidTr="004C1071">
        <w:trPr>
          <w:trHeight w:val="374"/>
        </w:trPr>
        <w:tc>
          <w:tcPr>
            <w:tcW w:w="1417" w:type="dxa"/>
          </w:tcPr>
          <w:p w14:paraId="7A2EDDBE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2FDCC0A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0D898BF4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Atmung</w:t>
            </w:r>
          </w:p>
        </w:tc>
        <w:tc>
          <w:tcPr>
            <w:tcW w:w="1032" w:type="dxa"/>
            <w:vAlign w:val="center"/>
          </w:tcPr>
          <w:p w14:paraId="70CACDE7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30–31</w:t>
            </w:r>
          </w:p>
        </w:tc>
        <w:tc>
          <w:tcPr>
            <w:tcW w:w="4360" w:type="dxa"/>
            <w:vMerge/>
            <w:vAlign w:val="center"/>
          </w:tcPr>
          <w:p w14:paraId="2F4A14F3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14098DA4" w14:textId="77777777" w:rsidTr="004C1071">
        <w:trPr>
          <w:trHeight w:val="374"/>
        </w:trPr>
        <w:tc>
          <w:tcPr>
            <w:tcW w:w="1417" w:type="dxa"/>
          </w:tcPr>
          <w:p w14:paraId="073F5821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424A51C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CDEE2B6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Erkrankungen der Atemwege</w:t>
            </w:r>
          </w:p>
        </w:tc>
        <w:tc>
          <w:tcPr>
            <w:tcW w:w="1032" w:type="dxa"/>
            <w:vAlign w:val="center"/>
          </w:tcPr>
          <w:p w14:paraId="7DAC3B27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32–33</w:t>
            </w:r>
          </w:p>
        </w:tc>
        <w:tc>
          <w:tcPr>
            <w:tcW w:w="4360" w:type="dxa"/>
            <w:vMerge/>
            <w:vAlign w:val="center"/>
          </w:tcPr>
          <w:p w14:paraId="53663B9B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1566CCBC" w14:textId="77777777" w:rsidTr="004C1071">
        <w:trPr>
          <w:trHeight w:val="374"/>
        </w:trPr>
        <w:tc>
          <w:tcPr>
            <w:tcW w:w="1417" w:type="dxa"/>
          </w:tcPr>
          <w:p w14:paraId="4D8B885F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CFB7C66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56E057BB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vAlign w:val="center"/>
          </w:tcPr>
          <w:p w14:paraId="77927261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34–35</w:t>
            </w:r>
          </w:p>
        </w:tc>
        <w:tc>
          <w:tcPr>
            <w:tcW w:w="4360" w:type="dxa"/>
            <w:vMerge/>
            <w:vAlign w:val="center"/>
          </w:tcPr>
          <w:p w14:paraId="483ADE16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2F1C01E7" w14:textId="77777777" w:rsidTr="004C1071">
        <w:trPr>
          <w:trHeight w:val="374"/>
        </w:trPr>
        <w:tc>
          <w:tcPr>
            <w:tcW w:w="1417" w:type="dxa"/>
          </w:tcPr>
          <w:p w14:paraId="23C8FA80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03ECECC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875" w:type="dxa"/>
            <w:vAlign w:val="center"/>
          </w:tcPr>
          <w:p w14:paraId="34906132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Blut</w:t>
            </w:r>
          </w:p>
        </w:tc>
        <w:tc>
          <w:tcPr>
            <w:tcW w:w="1032" w:type="dxa"/>
            <w:vAlign w:val="center"/>
          </w:tcPr>
          <w:p w14:paraId="21ED8306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36–39</w:t>
            </w:r>
          </w:p>
        </w:tc>
        <w:tc>
          <w:tcPr>
            <w:tcW w:w="4360" w:type="dxa"/>
            <w:vMerge/>
            <w:vAlign w:val="center"/>
          </w:tcPr>
          <w:p w14:paraId="2FC83813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2BFCB65B" w14:textId="77777777" w:rsidTr="004C1071">
        <w:trPr>
          <w:trHeight w:val="374"/>
        </w:trPr>
        <w:tc>
          <w:tcPr>
            <w:tcW w:w="1417" w:type="dxa"/>
          </w:tcPr>
          <w:p w14:paraId="6081BBF4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C1472F4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875" w:type="dxa"/>
            <w:vAlign w:val="center"/>
          </w:tcPr>
          <w:p w14:paraId="678AE962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Kreislaufsystem</w:t>
            </w:r>
          </w:p>
        </w:tc>
        <w:tc>
          <w:tcPr>
            <w:tcW w:w="1032" w:type="dxa"/>
            <w:vAlign w:val="center"/>
          </w:tcPr>
          <w:p w14:paraId="5728406C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40–41</w:t>
            </w:r>
          </w:p>
        </w:tc>
        <w:tc>
          <w:tcPr>
            <w:tcW w:w="4360" w:type="dxa"/>
            <w:vMerge/>
            <w:vAlign w:val="center"/>
          </w:tcPr>
          <w:p w14:paraId="3E3C57AF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50DFC0F8" w14:textId="77777777" w:rsidTr="004C1071">
        <w:trPr>
          <w:trHeight w:val="374"/>
        </w:trPr>
        <w:tc>
          <w:tcPr>
            <w:tcW w:w="1417" w:type="dxa"/>
          </w:tcPr>
          <w:p w14:paraId="18EC9C79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83B9883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3156A92A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Erkrankungen des Kreislaufsystems</w:t>
            </w:r>
          </w:p>
        </w:tc>
        <w:tc>
          <w:tcPr>
            <w:tcW w:w="1032" w:type="dxa"/>
            <w:vAlign w:val="center"/>
          </w:tcPr>
          <w:p w14:paraId="64A48659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42–43</w:t>
            </w:r>
          </w:p>
        </w:tc>
        <w:tc>
          <w:tcPr>
            <w:tcW w:w="4360" w:type="dxa"/>
            <w:vMerge/>
            <w:vAlign w:val="center"/>
          </w:tcPr>
          <w:p w14:paraId="16C2F939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5599B420" w14:textId="77777777" w:rsidTr="004C1071">
        <w:trPr>
          <w:trHeight w:val="374"/>
        </w:trPr>
        <w:tc>
          <w:tcPr>
            <w:tcW w:w="1417" w:type="dxa"/>
          </w:tcPr>
          <w:p w14:paraId="32FACBF4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5A6F0BA8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711F18D3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Lymphsystem und Immunsystem</w:t>
            </w:r>
          </w:p>
        </w:tc>
        <w:tc>
          <w:tcPr>
            <w:tcW w:w="1032" w:type="dxa"/>
            <w:vAlign w:val="center"/>
          </w:tcPr>
          <w:p w14:paraId="51084CF7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44–45</w:t>
            </w:r>
          </w:p>
        </w:tc>
        <w:tc>
          <w:tcPr>
            <w:tcW w:w="4360" w:type="dxa"/>
            <w:vMerge/>
            <w:vAlign w:val="center"/>
          </w:tcPr>
          <w:p w14:paraId="467D7260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5FDE5BC3" w14:textId="77777777" w:rsidTr="004C1071">
        <w:trPr>
          <w:trHeight w:val="374"/>
        </w:trPr>
        <w:tc>
          <w:tcPr>
            <w:tcW w:w="1417" w:type="dxa"/>
          </w:tcPr>
          <w:p w14:paraId="04A01502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C5297FD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579D8978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Reaktionen des Immunsystems</w:t>
            </w:r>
          </w:p>
        </w:tc>
        <w:tc>
          <w:tcPr>
            <w:tcW w:w="1032" w:type="dxa"/>
            <w:vAlign w:val="center"/>
          </w:tcPr>
          <w:p w14:paraId="51AFA226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46–47</w:t>
            </w:r>
          </w:p>
        </w:tc>
        <w:tc>
          <w:tcPr>
            <w:tcW w:w="4360" w:type="dxa"/>
            <w:vMerge/>
            <w:vAlign w:val="center"/>
          </w:tcPr>
          <w:p w14:paraId="59EC78AD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6D58A1D0" w14:textId="77777777" w:rsidTr="004C1071">
        <w:trPr>
          <w:trHeight w:val="374"/>
        </w:trPr>
        <w:tc>
          <w:tcPr>
            <w:tcW w:w="1417" w:type="dxa"/>
          </w:tcPr>
          <w:p w14:paraId="70733CA7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FEAB354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39EE5D48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Krankheitserreger</w:t>
            </w:r>
          </w:p>
        </w:tc>
        <w:tc>
          <w:tcPr>
            <w:tcW w:w="1032" w:type="dxa"/>
            <w:vAlign w:val="center"/>
          </w:tcPr>
          <w:p w14:paraId="087D5CBD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48–49</w:t>
            </w:r>
          </w:p>
        </w:tc>
        <w:tc>
          <w:tcPr>
            <w:tcW w:w="4360" w:type="dxa"/>
            <w:vMerge/>
            <w:vAlign w:val="center"/>
          </w:tcPr>
          <w:p w14:paraId="4C5B805F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2FFF4021" w14:textId="77777777" w:rsidTr="004C1071">
        <w:trPr>
          <w:trHeight w:val="374"/>
        </w:trPr>
        <w:tc>
          <w:tcPr>
            <w:tcW w:w="1417" w:type="dxa"/>
          </w:tcPr>
          <w:p w14:paraId="7C449894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E9E54E2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B2B4A54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AIDS</w:t>
            </w:r>
          </w:p>
        </w:tc>
        <w:tc>
          <w:tcPr>
            <w:tcW w:w="1032" w:type="dxa"/>
            <w:vAlign w:val="center"/>
          </w:tcPr>
          <w:p w14:paraId="56CF4577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50–51</w:t>
            </w:r>
          </w:p>
        </w:tc>
        <w:tc>
          <w:tcPr>
            <w:tcW w:w="4360" w:type="dxa"/>
            <w:vMerge/>
            <w:vAlign w:val="center"/>
          </w:tcPr>
          <w:p w14:paraId="68A8D4F9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2DB88C65" w14:textId="77777777" w:rsidTr="004C1071">
        <w:trPr>
          <w:trHeight w:val="374"/>
        </w:trPr>
        <w:tc>
          <w:tcPr>
            <w:tcW w:w="1417" w:type="dxa"/>
          </w:tcPr>
          <w:p w14:paraId="6E4C0C80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6887485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6BEB136A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vAlign w:val="center"/>
          </w:tcPr>
          <w:p w14:paraId="3454C883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52–53</w:t>
            </w:r>
          </w:p>
        </w:tc>
        <w:tc>
          <w:tcPr>
            <w:tcW w:w="4360" w:type="dxa"/>
            <w:vMerge/>
            <w:vAlign w:val="center"/>
          </w:tcPr>
          <w:p w14:paraId="339D1EEF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5116800B" w14:textId="77777777" w:rsidTr="004C1071">
        <w:trPr>
          <w:trHeight w:val="374"/>
        </w:trPr>
        <w:tc>
          <w:tcPr>
            <w:tcW w:w="1417" w:type="dxa"/>
          </w:tcPr>
          <w:p w14:paraId="1BEEC2CE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1B41095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875" w:type="dxa"/>
            <w:vAlign w:val="center"/>
          </w:tcPr>
          <w:p w14:paraId="63ED035C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Nervensystem</w:t>
            </w:r>
          </w:p>
        </w:tc>
        <w:tc>
          <w:tcPr>
            <w:tcW w:w="1032" w:type="dxa"/>
            <w:vAlign w:val="center"/>
          </w:tcPr>
          <w:p w14:paraId="16A6DB75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54–55</w:t>
            </w:r>
          </w:p>
        </w:tc>
        <w:tc>
          <w:tcPr>
            <w:tcW w:w="4360" w:type="dxa"/>
            <w:vMerge/>
            <w:vAlign w:val="center"/>
          </w:tcPr>
          <w:p w14:paraId="1A3DD4B9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611B1913" w14:textId="77777777" w:rsidTr="004C1071">
        <w:trPr>
          <w:trHeight w:val="374"/>
        </w:trPr>
        <w:tc>
          <w:tcPr>
            <w:tcW w:w="1417" w:type="dxa"/>
          </w:tcPr>
          <w:p w14:paraId="673B00BB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5D9804DC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BFF6096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Funktionen des Nervensystems</w:t>
            </w:r>
          </w:p>
        </w:tc>
        <w:tc>
          <w:tcPr>
            <w:tcW w:w="1032" w:type="dxa"/>
            <w:vAlign w:val="center"/>
          </w:tcPr>
          <w:p w14:paraId="7F292D36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56–57</w:t>
            </w:r>
          </w:p>
        </w:tc>
        <w:tc>
          <w:tcPr>
            <w:tcW w:w="4360" w:type="dxa"/>
            <w:vMerge/>
            <w:vAlign w:val="center"/>
          </w:tcPr>
          <w:p w14:paraId="69B85ED6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1844DF3F" w14:textId="77777777" w:rsidTr="004C1071">
        <w:trPr>
          <w:trHeight w:val="374"/>
        </w:trPr>
        <w:tc>
          <w:tcPr>
            <w:tcW w:w="1417" w:type="dxa"/>
          </w:tcPr>
          <w:p w14:paraId="679DC5DE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ABCB8EE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50F4FCA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Stress und Erkrankungen des Nervensystems</w:t>
            </w:r>
          </w:p>
        </w:tc>
        <w:tc>
          <w:tcPr>
            <w:tcW w:w="1032" w:type="dxa"/>
            <w:vAlign w:val="center"/>
          </w:tcPr>
          <w:p w14:paraId="5774BD3E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58–59</w:t>
            </w:r>
          </w:p>
        </w:tc>
        <w:tc>
          <w:tcPr>
            <w:tcW w:w="4360" w:type="dxa"/>
            <w:vMerge/>
            <w:vAlign w:val="center"/>
          </w:tcPr>
          <w:p w14:paraId="348CCA97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5A8B332D" w14:textId="77777777" w:rsidTr="004C1071">
        <w:trPr>
          <w:trHeight w:val="374"/>
        </w:trPr>
        <w:tc>
          <w:tcPr>
            <w:tcW w:w="1417" w:type="dxa"/>
          </w:tcPr>
          <w:p w14:paraId="253525F1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2FD4EEB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AC941F8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Sinnesorgane – das Auge</w:t>
            </w:r>
          </w:p>
        </w:tc>
        <w:tc>
          <w:tcPr>
            <w:tcW w:w="1032" w:type="dxa"/>
            <w:vAlign w:val="center"/>
          </w:tcPr>
          <w:p w14:paraId="25F4B491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60–61</w:t>
            </w:r>
          </w:p>
        </w:tc>
        <w:tc>
          <w:tcPr>
            <w:tcW w:w="4360" w:type="dxa"/>
            <w:vMerge/>
            <w:vAlign w:val="center"/>
          </w:tcPr>
          <w:p w14:paraId="37BFF79E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0BA4313C" w14:textId="77777777" w:rsidTr="004C1071">
        <w:trPr>
          <w:trHeight w:val="374"/>
        </w:trPr>
        <w:tc>
          <w:tcPr>
            <w:tcW w:w="1417" w:type="dxa"/>
          </w:tcPr>
          <w:p w14:paraId="293729D4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44C73BF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4013609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Funktionen und Erkrankungen     des Auges</w:t>
            </w:r>
          </w:p>
        </w:tc>
        <w:tc>
          <w:tcPr>
            <w:tcW w:w="1032" w:type="dxa"/>
            <w:vAlign w:val="center"/>
          </w:tcPr>
          <w:p w14:paraId="7D82D454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62–63</w:t>
            </w:r>
          </w:p>
        </w:tc>
        <w:tc>
          <w:tcPr>
            <w:tcW w:w="4360" w:type="dxa"/>
            <w:vMerge/>
            <w:vAlign w:val="center"/>
          </w:tcPr>
          <w:p w14:paraId="1F188B49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672B407E" w14:textId="77777777" w:rsidTr="004C1071">
        <w:trPr>
          <w:trHeight w:val="374"/>
        </w:trPr>
        <w:tc>
          <w:tcPr>
            <w:tcW w:w="1417" w:type="dxa"/>
          </w:tcPr>
          <w:p w14:paraId="350189BD" w14:textId="77777777" w:rsidR="00987DBA" w:rsidRPr="00DC23C1" w:rsidRDefault="00987DBA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70DE151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0A89A91C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Ohr</w:t>
            </w:r>
          </w:p>
        </w:tc>
        <w:tc>
          <w:tcPr>
            <w:tcW w:w="1032" w:type="dxa"/>
            <w:vAlign w:val="center"/>
          </w:tcPr>
          <w:p w14:paraId="5E2951FD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64–65</w:t>
            </w:r>
          </w:p>
        </w:tc>
        <w:tc>
          <w:tcPr>
            <w:tcW w:w="4360" w:type="dxa"/>
            <w:vMerge/>
            <w:vAlign w:val="center"/>
          </w:tcPr>
          <w:p w14:paraId="723B474D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665A0D2C" w14:textId="77777777" w:rsidTr="001903E3">
        <w:trPr>
          <w:trHeight w:val="374"/>
        </w:trPr>
        <w:tc>
          <w:tcPr>
            <w:tcW w:w="1417" w:type="dxa"/>
            <w:tcBorders>
              <w:bottom w:val="single" w:sz="4" w:space="0" w:color="181715"/>
            </w:tcBorders>
          </w:tcPr>
          <w:p w14:paraId="320DFD51" w14:textId="77777777" w:rsidR="00987DBA" w:rsidRPr="00DC23C1" w:rsidRDefault="00987DBA" w:rsidP="00FD774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bottom w:val="single" w:sz="4" w:space="0" w:color="181715"/>
            </w:tcBorders>
            <w:vAlign w:val="center"/>
          </w:tcPr>
          <w:p w14:paraId="5DBBDA46" w14:textId="77777777" w:rsidR="00987DBA" w:rsidRPr="008D2D13" w:rsidRDefault="00987DBA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181715"/>
            </w:tcBorders>
            <w:vAlign w:val="center"/>
          </w:tcPr>
          <w:p w14:paraId="0AB1A512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Geruchs- und Geschmackssinn</w:t>
            </w:r>
          </w:p>
        </w:tc>
        <w:tc>
          <w:tcPr>
            <w:tcW w:w="1032" w:type="dxa"/>
            <w:tcBorders>
              <w:bottom w:val="single" w:sz="4" w:space="0" w:color="181715"/>
            </w:tcBorders>
            <w:vAlign w:val="center"/>
          </w:tcPr>
          <w:p w14:paraId="5C165DC2" w14:textId="77777777" w:rsidR="00987DBA" w:rsidRPr="008D2D13" w:rsidRDefault="00987DBA" w:rsidP="008D2D13">
            <w:pPr>
              <w:pStyle w:val="berschrift1"/>
              <w:widowControl/>
              <w:autoSpaceDE/>
              <w:autoSpaceDN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66–67</w:t>
            </w:r>
          </w:p>
        </w:tc>
        <w:tc>
          <w:tcPr>
            <w:tcW w:w="4360" w:type="dxa"/>
            <w:vMerge/>
            <w:vAlign w:val="center"/>
          </w:tcPr>
          <w:p w14:paraId="6117BA7C" w14:textId="77777777" w:rsidR="00987DBA" w:rsidRPr="00DC23C1" w:rsidRDefault="00987DBA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87DBA" w:rsidRPr="00DC23C1" w14:paraId="4F4F2CDB" w14:textId="77777777" w:rsidTr="001903E3">
        <w:trPr>
          <w:trHeight w:val="374"/>
        </w:trPr>
        <w:tc>
          <w:tcPr>
            <w:tcW w:w="1417" w:type="dxa"/>
            <w:tcBorders>
              <w:top w:val="single" w:sz="4" w:space="0" w:color="auto"/>
            </w:tcBorders>
          </w:tcPr>
          <w:p w14:paraId="304BAFD9" w14:textId="77777777" w:rsidR="00987DBA" w:rsidRPr="00DC23C1" w:rsidRDefault="00987DBA" w:rsidP="00921FE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62A5E3CF" w14:textId="77777777" w:rsidR="00987DBA" w:rsidRPr="008D2D13" w:rsidRDefault="00987DBA" w:rsidP="00921FEE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11215D16" w14:textId="77777777" w:rsidR="00987DBA" w:rsidRPr="008D2D13" w:rsidRDefault="00987DBA" w:rsidP="00921FEE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Haut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47FCC326" w14:textId="77777777" w:rsidR="00987DBA" w:rsidRPr="008D2D13" w:rsidRDefault="00987DBA" w:rsidP="00921FEE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68–69</w:t>
            </w:r>
          </w:p>
        </w:tc>
        <w:tc>
          <w:tcPr>
            <w:tcW w:w="4360" w:type="dxa"/>
            <w:vMerge/>
            <w:vAlign w:val="center"/>
          </w:tcPr>
          <w:p w14:paraId="46D75E73" w14:textId="77777777" w:rsidR="00987DBA" w:rsidRPr="00DC23C1" w:rsidRDefault="00987DBA" w:rsidP="00921FEE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37761B" w:rsidRPr="00DC23C1" w14:paraId="11A04294" w14:textId="77777777" w:rsidTr="004C1071">
        <w:trPr>
          <w:trHeight w:val="374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CCE1F" w14:textId="77777777" w:rsidR="0037761B" w:rsidRPr="00DC23C1" w:rsidRDefault="0037761B" w:rsidP="00D13555">
            <w:pPr>
              <w:jc w:val="center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Monat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C4404" w14:textId="77777777" w:rsidR="0037761B" w:rsidRPr="00DC23C1" w:rsidRDefault="0037761B" w:rsidP="008D2D13">
            <w:pPr>
              <w:jc w:val="center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Std.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A359A" w14:textId="77777777" w:rsidR="0037761B" w:rsidRPr="00DC23C1" w:rsidRDefault="0037761B" w:rsidP="008D2D13">
            <w:pPr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Kapitel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7415E" w14:textId="087FA3A6" w:rsidR="0037761B" w:rsidRPr="00DC23C1" w:rsidRDefault="0037761B" w:rsidP="008D2D13">
            <w:pPr>
              <w:jc w:val="center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Seite</w:t>
            </w:r>
            <w:r w:rsidR="00D02C93" w:rsidRPr="00DC23C1">
              <w:rPr>
                <w:rFonts w:asciiTheme="minorHAnsi" w:eastAsia="Arial" w:hAnsiTheme="minorHAnsi" w:cstheme="minorHAnsi"/>
                <w:b/>
                <w:lang w:val="de-DE"/>
              </w:rPr>
              <w:t>n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3869F" w14:textId="77777777" w:rsidR="0037761B" w:rsidRPr="00DC23C1" w:rsidRDefault="0037761B" w:rsidP="00D13555">
            <w:pPr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Lehrplanbezug</w:t>
            </w:r>
          </w:p>
        </w:tc>
      </w:tr>
      <w:tr w:rsidR="001B44EF" w:rsidRPr="00DC23C1" w14:paraId="7FE9B699" w14:textId="77777777" w:rsidTr="004C1071">
        <w:trPr>
          <w:trHeight w:val="374"/>
        </w:trPr>
        <w:tc>
          <w:tcPr>
            <w:tcW w:w="1417" w:type="dxa"/>
          </w:tcPr>
          <w:p w14:paraId="211BA67E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CCEE606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685B3B22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vAlign w:val="center"/>
          </w:tcPr>
          <w:p w14:paraId="0EF88815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70–71</w:t>
            </w:r>
          </w:p>
        </w:tc>
        <w:tc>
          <w:tcPr>
            <w:tcW w:w="4360" w:type="dxa"/>
            <w:vMerge w:val="restart"/>
            <w:vAlign w:val="center"/>
          </w:tcPr>
          <w:p w14:paraId="6F89435A" w14:textId="0BE40A9A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0E40F4B0" w14:textId="77777777" w:rsidTr="004C1071">
        <w:trPr>
          <w:trHeight w:val="374"/>
        </w:trPr>
        <w:tc>
          <w:tcPr>
            <w:tcW w:w="1417" w:type="dxa"/>
          </w:tcPr>
          <w:p w14:paraId="440F02CB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EEAFF4A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68506FAE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Das Hormonsystem</w:t>
            </w:r>
          </w:p>
        </w:tc>
        <w:tc>
          <w:tcPr>
            <w:tcW w:w="1032" w:type="dxa"/>
            <w:vAlign w:val="center"/>
          </w:tcPr>
          <w:p w14:paraId="70D95015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72–73</w:t>
            </w:r>
          </w:p>
        </w:tc>
        <w:tc>
          <w:tcPr>
            <w:tcW w:w="4360" w:type="dxa"/>
            <w:vMerge/>
            <w:vAlign w:val="center"/>
          </w:tcPr>
          <w:p w14:paraId="5BE228B8" w14:textId="64107FF5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5B76D76D" w14:textId="77777777" w:rsidTr="004C1071">
        <w:trPr>
          <w:trHeight w:val="374"/>
        </w:trPr>
        <w:tc>
          <w:tcPr>
            <w:tcW w:w="1417" w:type="dxa"/>
          </w:tcPr>
          <w:p w14:paraId="6CF7AF3E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50ADD46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875" w:type="dxa"/>
            <w:vAlign w:val="center"/>
          </w:tcPr>
          <w:p w14:paraId="3CD7BB18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Pubertät</w:t>
            </w:r>
          </w:p>
        </w:tc>
        <w:tc>
          <w:tcPr>
            <w:tcW w:w="1032" w:type="dxa"/>
            <w:vAlign w:val="center"/>
          </w:tcPr>
          <w:p w14:paraId="3B315A84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74–75</w:t>
            </w:r>
          </w:p>
        </w:tc>
        <w:tc>
          <w:tcPr>
            <w:tcW w:w="4360" w:type="dxa"/>
            <w:vMerge/>
            <w:vAlign w:val="center"/>
          </w:tcPr>
          <w:p w14:paraId="6F6A48C6" w14:textId="3609E8B1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6B0349AC" w14:textId="77777777" w:rsidTr="004C1071">
        <w:trPr>
          <w:trHeight w:val="374"/>
        </w:trPr>
        <w:tc>
          <w:tcPr>
            <w:tcW w:w="1417" w:type="dxa"/>
          </w:tcPr>
          <w:p w14:paraId="79336868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43948A1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64A42339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Geschlechtsorgane</w:t>
            </w:r>
          </w:p>
        </w:tc>
        <w:tc>
          <w:tcPr>
            <w:tcW w:w="1032" w:type="dxa"/>
            <w:vAlign w:val="center"/>
          </w:tcPr>
          <w:p w14:paraId="07E840A4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76–77</w:t>
            </w:r>
          </w:p>
        </w:tc>
        <w:tc>
          <w:tcPr>
            <w:tcW w:w="4360" w:type="dxa"/>
            <w:vMerge/>
            <w:vAlign w:val="center"/>
          </w:tcPr>
          <w:p w14:paraId="74047B83" w14:textId="35774F58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5FF434EC" w14:textId="77777777" w:rsidTr="004C1071">
        <w:trPr>
          <w:trHeight w:val="374"/>
        </w:trPr>
        <w:tc>
          <w:tcPr>
            <w:tcW w:w="1417" w:type="dxa"/>
            <w:tcBorders>
              <w:bottom w:val="single" w:sz="4" w:space="0" w:color="181715"/>
            </w:tcBorders>
          </w:tcPr>
          <w:p w14:paraId="6BE0986F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bottom w:val="single" w:sz="4" w:space="0" w:color="181715"/>
            </w:tcBorders>
            <w:vAlign w:val="center"/>
          </w:tcPr>
          <w:p w14:paraId="2244BB95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181715"/>
            </w:tcBorders>
            <w:vAlign w:val="center"/>
          </w:tcPr>
          <w:p w14:paraId="41DD1447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Sexualität des Menschen</w:t>
            </w:r>
          </w:p>
        </w:tc>
        <w:tc>
          <w:tcPr>
            <w:tcW w:w="1032" w:type="dxa"/>
            <w:tcBorders>
              <w:bottom w:val="single" w:sz="4" w:space="0" w:color="181715"/>
            </w:tcBorders>
            <w:vAlign w:val="center"/>
          </w:tcPr>
          <w:p w14:paraId="595FB6C4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78–79</w:t>
            </w:r>
          </w:p>
        </w:tc>
        <w:tc>
          <w:tcPr>
            <w:tcW w:w="4360" w:type="dxa"/>
            <w:vMerge/>
            <w:vAlign w:val="center"/>
          </w:tcPr>
          <w:p w14:paraId="47F36847" w14:textId="4E234E14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115812A0" w14:textId="77777777" w:rsidTr="004C1071">
        <w:trPr>
          <w:trHeight w:val="374"/>
        </w:trPr>
        <w:tc>
          <w:tcPr>
            <w:tcW w:w="1417" w:type="dxa"/>
            <w:tcBorders>
              <w:bottom w:val="single" w:sz="4" w:space="0" w:color="auto"/>
            </w:tcBorders>
          </w:tcPr>
          <w:p w14:paraId="369F265D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128F9574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9654A8D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Biologische Aspekte der            Sexualität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2DE9BAAC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80–81</w:t>
            </w:r>
          </w:p>
        </w:tc>
        <w:tc>
          <w:tcPr>
            <w:tcW w:w="4360" w:type="dxa"/>
            <w:vMerge/>
            <w:vAlign w:val="center"/>
          </w:tcPr>
          <w:p w14:paraId="7AAB1BD7" w14:textId="77777777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4252B643" w14:textId="77777777" w:rsidTr="004C1071">
        <w:trPr>
          <w:trHeight w:val="374"/>
        </w:trPr>
        <w:tc>
          <w:tcPr>
            <w:tcW w:w="1417" w:type="dxa"/>
            <w:tcBorders>
              <w:top w:val="single" w:sz="4" w:space="0" w:color="auto"/>
            </w:tcBorders>
          </w:tcPr>
          <w:p w14:paraId="7ACF3FFD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7BD6D221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7B483AB0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Schwangerschaft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1D007823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82–85</w:t>
            </w:r>
          </w:p>
        </w:tc>
        <w:tc>
          <w:tcPr>
            <w:tcW w:w="4360" w:type="dxa"/>
            <w:vMerge/>
            <w:vAlign w:val="center"/>
          </w:tcPr>
          <w:p w14:paraId="360D967B" w14:textId="77777777" w:rsidR="001B44EF" w:rsidRPr="00DC23C1" w:rsidRDefault="001B44EF" w:rsidP="00D13555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</w:tr>
      <w:tr w:rsidR="001B44EF" w:rsidRPr="00DC23C1" w14:paraId="7E3C69D0" w14:textId="77777777" w:rsidTr="004C1071">
        <w:trPr>
          <w:trHeight w:val="374"/>
        </w:trPr>
        <w:tc>
          <w:tcPr>
            <w:tcW w:w="1417" w:type="dxa"/>
          </w:tcPr>
          <w:p w14:paraId="7A271069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7AD97D0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69A5D037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Geburt und Entwicklung des Kindes</w:t>
            </w:r>
          </w:p>
        </w:tc>
        <w:tc>
          <w:tcPr>
            <w:tcW w:w="1032" w:type="dxa"/>
            <w:vAlign w:val="center"/>
          </w:tcPr>
          <w:p w14:paraId="1931BD07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86–87</w:t>
            </w:r>
          </w:p>
        </w:tc>
        <w:tc>
          <w:tcPr>
            <w:tcW w:w="4360" w:type="dxa"/>
            <w:vMerge/>
            <w:vAlign w:val="center"/>
          </w:tcPr>
          <w:p w14:paraId="242D705D" w14:textId="77777777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6A7FAFDA" w14:textId="77777777" w:rsidTr="004C1071">
        <w:trPr>
          <w:trHeight w:val="374"/>
        </w:trPr>
        <w:tc>
          <w:tcPr>
            <w:tcW w:w="1417" w:type="dxa"/>
          </w:tcPr>
          <w:p w14:paraId="6EB43C15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371E4A6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135D60E4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Die Verhütung</w:t>
            </w:r>
          </w:p>
        </w:tc>
        <w:tc>
          <w:tcPr>
            <w:tcW w:w="1032" w:type="dxa"/>
            <w:vAlign w:val="center"/>
          </w:tcPr>
          <w:p w14:paraId="005AC13B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88–89</w:t>
            </w:r>
          </w:p>
        </w:tc>
        <w:tc>
          <w:tcPr>
            <w:tcW w:w="4360" w:type="dxa"/>
            <w:vMerge/>
            <w:vAlign w:val="center"/>
          </w:tcPr>
          <w:p w14:paraId="34B3A2F7" w14:textId="77777777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1B44EF" w:rsidRPr="00DC23C1" w14:paraId="55A573A1" w14:textId="77777777" w:rsidTr="004C1071">
        <w:trPr>
          <w:trHeight w:val="374"/>
        </w:trPr>
        <w:tc>
          <w:tcPr>
            <w:tcW w:w="1417" w:type="dxa"/>
            <w:tcBorders>
              <w:bottom w:val="single" w:sz="12" w:space="0" w:color="181715"/>
            </w:tcBorders>
          </w:tcPr>
          <w:p w14:paraId="3F8A296B" w14:textId="77777777" w:rsidR="001B44EF" w:rsidRPr="00DC23C1" w:rsidRDefault="001B44EF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tcBorders>
              <w:bottom w:val="single" w:sz="12" w:space="0" w:color="181715"/>
            </w:tcBorders>
            <w:vAlign w:val="center"/>
          </w:tcPr>
          <w:p w14:paraId="3263C4F0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bottom w:val="single" w:sz="12" w:space="0" w:color="181715"/>
            </w:tcBorders>
            <w:vAlign w:val="center"/>
          </w:tcPr>
          <w:p w14:paraId="38870793" w14:textId="77777777" w:rsidR="001B44EF" w:rsidRPr="008D2D13" w:rsidRDefault="001B44EF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tcBorders>
              <w:bottom w:val="single" w:sz="12" w:space="0" w:color="181715"/>
            </w:tcBorders>
            <w:vAlign w:val="center"/>
          </w:tcPr>
          <w:p w14:paraId="2F3A6AD2" w14:textId="77777777" w:rsidR="001B44EF" w:rsidRPr="008D2D13" w:rsidRDefault="001B44EF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90–91</w:t>
            </w:r>
          </w:p>
        </w:tc>
        <w:tc>
          <w:tcPr>
            <w:tcW w:w="4360" w:type="dxa"/>
            <w:vMerge/>
            <w:tcBorders>
              <w:bottom w:val="single" w:sz="12" w:space="0" w:color="181715"/>
            </w:tcBorders>
            <w:vAlign w:val="center"/>
          </w:tcPr>
          <w:p w14:paraId="6F20BAA6" w14:textId="77777777" w:rsidR="001B44EF" w:rsidRPr="00DC23C1" w:rsidRDefault="001B44EF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5E669E" w:rsidRPr="00DC23C1" w14:paraId="52929F12" w14:textId="77777777" w:rsidTr="004C1071">
        <w:trPr>
          <w:trHeight w:val="374"/>
        </w:trPr>
        <w:tc>
          <w:tcPr>
            <w:tcW w:w="1417" w:type="dxa"/>
            <w:tcBorders>
              <w:top w:val="single" w:sz="12" w:space="0" w:color="181715"/>
            </w:tcBorders>
            <w:shd w:val="clear" w:color="auto" w:fill="E7ABC5"/>
          </w:tcPr>
          <w:p w14:paraId="4751D51C" w14:textId="77777777" w:rsidR="005E669E" w:rsidRPr="00DC23C1" w:rsidRDefault="005E669E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2969630C" w14:textId="77777777" w:rsidR="005E669E" w:rsidRPr="00DC23C1" w:rsidRDefault="005E669E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2875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4B098EF6" w14:textId="77777777" w:rsidR="005E669E" w:rsidRPr="00DC23C1" w:rsidRDefault="005E669E" w:rsidP="008D2D13">
            <w:pPr>
              <w:spacing w:before="57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lang w:val="de-DE"/>
              </w:rPr>
              <w:t>Vererbung</w:t>
            </w:r>
          </w:p>
        </w:tc>
        <w:tc>
          <w:tcPr>
            <w:tcW w:w="1032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48BE57C5" w14:textId="77777777" w:rsidR="005E669E" w:rsidRPr="00DC23C1" w:rsidRDefault="005E669E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4360" w:type="dxa"/>
            <w:vMerge w:val="restart"/>
            <w:tcBorders>
              <w:top w:val="single" w:sz="12" w:space="0" w:color="181715"/>
              <w:bottom w:val="single" w:sz="12" w:space="0" w:color="181715"/>
            </w:tcBorders>
            <w:vAlign w:val="center"/>
          </w:tcPr>
          <w:p w14:paraId="493A09B1" w14:textId="77777777" w:rsidR="005E669E" w:rsidRPr="00DC23C1" w:rsidRDefault="005E669E" w:rsidP="00D13555">
            <w:pPr>
              <w:spacing w:before="30"/>
              <w:ind w:right="221"/>
              <w:rPr>
                <w:rFonts w:asciiTheme="minorHAnsi" w:eastAsia="Arial" w:hAnsiTheme="minorHAnsi" w:cstheme="minorHAnsi"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 xml:space="preserve">Weiters sind Grundlagen der Vererbung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 xml:space="preserve">zu erarbeiten und deren Anwendungs- </w:t>
            </w:r>
            <w:proofErr w:type="spellStart"/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>möglichkeiten</w:t>
            </w:r>
            <w:proofErr w:type="spellEnd"/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 xml:space="preserve"> (zB Gentechnik) auch im Hinblick auf gesellschaftliche und ethische Fragen zu behandeln und zu diskutieren.</w:t>
            </w:r>
          </w:p>
        </w:tc>
      </w:tr>
      <w:tr w:rsidR="005E669E" w:rsidRPr="00DC23C1" w14:paraId="5ABC0624" w14:textId="77777777" w:rsidTr="004C1071">
        <w:trPr>
          <w:trHeight w:val="374"/>
        </w:trPr>
        <w:tc>
          <w:tcPr>
            <w:tcW w:w="1417" w:type="dxa"/>
          </w:tcPr>
          <w:p w14:paraId="5DED5239" w14:textId="77777777" w:rsidR="005E669E" w:rsidRPr="00DC23C1" w:rsidRDefault="005E669E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47848FE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59534E1" w14:textId="77777777" w:rsidR="005E669E" w:rsidRPr="008D2D13" w:rsidRDefault="005E669E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Grundlagen der Vererbung</w:t>
            </w:r>
          </w:p>
        </w:tc>
        <w:tc>
          <w:tcPr>
            <w:tcW w:w="1032" w:type="dxa"/>
            <w:vAlign w:val="center"/>
          </w:tcPr>
          <w:p w14:paraId="081A7847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92–93</w:t>
            </w:r>
          </w:p>
        </w:tc>
        <w:tc>
          <w:tcPr>
            <w:tcW w:w="4360" w:type="dxa"/>
            <w:vMerge/>
            <w:tcBorders>
              <w:top w:val="nil"/>
              <w:bottom w:val="single" w:sz="12" w:space="0" w:color="181715"/>
            </w:tcBorders>
            <w:vAlign w:val="center"/>
          </w:tcPr>
          <w:p w14:paraId="7A84FBC7" w14:textId="77777777" w:rsidR="005E669E" w:rsidRPr="00DC23C1" w:rsidRDefault="005E669E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5E669E" w:rsidRPr="00DC23C1" w14:paraId="5BCE2A21" w14:textId="77777777" w:rsidTr="004C1071">
        <w:trPr>
          <w:trHeight w:val="374"/>
        </w:trPr>
        <w:tc>
          <w:tcPr>
            <w:tcW w:w="1417" w:type="dxa"/>
          </w:tcPr>
          <w:p w14:paraId="7A446EDD" w14:textId="77777777" w:rsidR="005E669E" w:rsidRPr="00DC23C1" w:rsidRDefault="005E669E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E5E01AF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875" w:type="dxa"/>
            <w:vAlign w:val="center"/>
          </w:tcPr>
          <w:p w14:paraId="6773518A" w14:textId="77777777" w:rsidR="005E669E" w:rsidRPr="008D2D13" w:rsidRDefault="005E669E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Mendelsche Regeln</w:t>
            </w:r>
          </w:p>
        </w:tc>
        <w:tc>
          <w:tcPr>
            <w:tcW w:w="1032" w:type="dxa"/>
            <w:vAlign w:val="center"/>
          </w:tcPr>
          <w:p w14:paraId="4E0C1976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94–95</w:t>
            </w:r>
          </w:p>
        </w:tc>
        <w:tc>
          <w:tcPr>
            <w:tcW w:w="4360" w:type="dxa"/>
            <w:vMerge/>
            <w:tcBorders>
              <w:top w:val="nil"/>
              <w:bottom w:val="single" w:sz="12" w:space="0" w:color="181715"/>
            </w:tcBorders>
            <w:vAlign w:val="center"/>
          </w:tcPr>
          <w:p w14:paraId="4139A726" w14:textId="77777777" w:rsidR="005E669E" w:rsidRPr="00DC23C1" w:rsidRDefault="005E669E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5E669E" w:rsidRPr="00DC23C1" w14:paraId="448C1491" w14:textId="77777777" w:rsidTr="004C1071">
        <w:trPr>
          <w:trHeight w:val="374"/>
        </w:trPr>
        <w:tc>
          <w:tcPr>
            <w:tcW w:w="1417" w:type="dxa"/>
          </w:tcPr>
          <w:p w14:paraId="0F331F37" w14:textId="77777777" w:rsidR="005E669E" w:rsidRPr="00DC23C1" w:rsidRDefault="005E669E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74131AF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5B1BE2F6" w14:textId="77777777" w:rsidR="005E669E" w:rsidRPr="008D2D13" w:rsidRDefault="005E669E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Genetik des Menschen</w:t>
            </w:r>
          </w:p>
        </w:tc>
        <w:tc>
          <w:tcPr>
            <w:tcW w:w="1032" w:type="dxa"/>
            <w:vAlign w:val="center"/>
          </w:tcPr>
          <w:p w14:paraId="57DECFC8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96–97</w:t>
            </w:r>
          </w:p>
        </w:tc>
        <w:tc>
          <w:tcPr>
            <w:tcW w:w="4360" w:type="dxa"/>
            <w:vMerge/>
            <w:tcBorders>
              <w:top w:val="nil"/>
              <w:bottom w:val="single" w:sz="12" w:space="0" w:color="181715"/>
            </w:tcBorders>
            <w:vAlign w:val="center"/>
          </w:tcPr>
          <w:p w14:paraId="19D61263" w14:textId="77777777" w:rsidR="005E669E" w:rsidRPr="00DC23C1" w:rsidRDefault="005E669E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5E669E" w:rsidRPr="00DC23C1" w14:paraId="0939009A" w14:textId="77777777" w:rsidTr="004C1071">
        <w:trPr>
          <w:trHeight w:val="374"/>
        </w:trPr>
        <w:tc>
          <w:tcPr>
            <w:tcW w:w="1417" w:type="dxa"/>
          </w:tcPr>
          <w:p w14:paraId="4CFDC5C8" w14:textId="77777777" w:rsidR="005E669E" w:rsidRPr="00DC23C1" w:rsidRDefault="005E669E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E9971F5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1FB597DA" w14:textId="77777777" w:rsidR="005E669E" w:rsidRPr="008D2D13" w:rsidRDefault="005E669E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Genetik in der Pflanzenzucht</w:t>
            </w:r>
          </w:p>
        </w:tc>
        <w:tc>
          <w:tcPr>
            <w:tcW w:w="1032" w:type="dxa"/>
            <w:vAlign w:val="center"/>
          </w:tcPr>
          <w:p w14:paraId="148F437D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98–99</w:t>
            </w:r>
          </w:p>
        </w:tc>
        <w:tc>
          <w:tcPr>
            <w:tcW w:w="4360" w:type="dxa"/>
            <w:vMerge/>
            <w:tcBorders>
              <w:top w:val="nil"/>
              <w:bottom w:val="single" w:sz="12" w:space="0" w:color="181715"/>
            </w:tcBorders>
            <w:vAlign w:val="center"/>
          </w:tcPr>
          <w:p w14:paraId="571CDC37" w14:textId="77777777" w:rsidR="005E669E" w:rsidRPr="00DC23C1" w:rsidRDefault="005E669E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5E669E" w:rsidRPr="00DC23C1" w14:paraId="13BB2143" w14:textId="77777777" w:rsidTr="004C1071">
        <w:trPr>
          <w:trHeight w:val="374"/>
        </w:trPr>
        <w:tc>
          <w:tcPr>
            <w:tcW w:w="1417" w:type="dxa"/>
          </w:tcPr>
          <w:p w14:paraId="6AD8C685" w14:textId="77777777" w:rsidR="005E669E" w:rsidRPr="00DC23C1" w:rsidRDefault="005E669E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944CD76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7F8AE621" w14:textId="77777777" w:rsidR="005E669E" w:rsidRPr="008D2D13" w:rsidRDefault="005E669E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Genetik in der Tierzucht</w:t>
            </w:r>
          </w:p>
        </w:tc>
        <w:tc>
          <w:tcPr>
            <w:tcW w:w="1032" w:type="dxa"/>
            <w:vAlign w:val="center"/>
          </w:tcPr>
          <w:p w14:paraId="0EAB7E05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100–101</w:t>
            </w:r>
          </w:p>
        </w:tc>
        <w:tc>
          <w:tcPr>
            <w:tcW w:w="4360" w:type="dxa"/>
            <w:vMerge/>
            <w:tcBorders>
              <w:top w:val="nil"/>
              <w:bottom w:val="single" w:sz="12" w:space="0" w:color="181715"/>
            </w:tcBorders>
            <w:vAlign w:val="center"/>
          </w:tcPr>
          <w:p w14:paraId="640E4D5F" w14:textId="77777777" w:rsidR="005E669E" w:rsidRPr="00DC23C1" w:rsidRDefault="005E669E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5E669E" w:rsidRPr="00DC23C1" w14:paraId="2FB20CF4" w14:textId="77777777" w:rsidTr="004C1071">
        <w:trPr>
          <w:trHeight w:val="374"/>
        </w:trPr>
        <w:tc>
          <w:tcPr>
            <w:tcW w:w="1417" w:type="dxa"/>
            <w:tcBorders>
              <w:bottom w:val="single" w:sz="12" w:space="0" w:color="181715"/>
            </w:tcBorders>
          </w:tcPr>
          <w:p w14:paraId="0CF7C276" w14:textId="77777777" w:rsidR="005E669E" w:rsidRPr="00DC23C1" w:rsidRDefault="005E669E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tcBorders>
              <w:bottom w:val="single" w:sz="12" w:space="0" w:color="181715"/>
            </w:tcBorders>
            <w:vAlign w:val="center"/>
          </w:tcPr>
          <w:p w14:paraId="17EBE869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bottom w:val="single" w:sz="12" w:space="0" w:color="181715"/>
            </w:tcBorders>
            <w:vAlign w:val="center"/>
          </w:tcPr>
          <w:p w14:paraId="503FB8D2" w14:textId="77777777" w:rsidR="005E669E" w:rsidRPr="008D2D13" w:rsidRDefault="005E669E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tcBorders>
              <w:bottom w:val="single" w:sz="12" w:space="0" w:color="181715"/>
            </w:tcBorders>
            <w:vAlign w:val="center"/>
          </w:tcPr>
          <w:p w14:paraId="37A21E5D" w14:textId="77777777" w:rsidR="005E669E" w:rsidRPr="008D2D13" w:rsidRDefault="005E669E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102–103</w:t>
            </w:r>
          </w:p>
        </w:tc>
        <w:tc>
          <w:tcPr>
            <w:tcW w:w="4360" w:type="dxa"/>
            <w:vMerge/>
            <w:tcBorders>
              <w:top w:val="nil"/>
              <w:bottom w:val="single" w:sz="12" w:space="0" w:color="181715"/>
            </w:tcBorders>
            <w:vAlign w:val="center"/>
          </w:tcPr>
          <w:p w14:paraId="6173B9F6" w14:textId="77777777" w:rsidR="005E669E" w:rsidRPr="00DC23C1" w:rsidRDefault="005E669E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4B38D526" w14:textId="77777777" w:rsidTr="004C1071">
        <w:trPr>
          <w:trHeight w:val="374"/>
        </w:trPr>
        <w:tc>
          <w:tcPr>
            <w:tcW w:w="1417" w:type="dxa"/>
            <w:tcBorders>
              <w:top w:val="single" w:sz="12" w:space="0" w:color="181715"/>
            </w:tcBorders>
            <w:shd w:val="clear" w:color="auto" w:fill="E7ABC5"/>
          </w:tcPr>
          <w:p w14:paraId="5CA7A669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26A7E5B5" w14:textId="77777777" w:rsidR="00923521" w:rsidRPr="00DC23C1" w:rsidRDefault="00923521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2875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1224293F" w14:textId="77777777" w:rsidR="00923521" w:rsidRPr="00DC23C1" w:rsidRDefault="00923521" w:rsidP="008D2D13">
            <w:pPr>
              <w:spacing w:before="57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color w:val="181715"/>
                <w:lang w:val="de-DE"/>
              </w:rPr>
              <w:t>Lebensraum Stadt</w:t>
            </w:r>
          </w:p>
        </w:tc>
        <w:tc>
          <w:tcPr>
            <w:tcW w:w="1032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104F1D39" w14:textId="77777777" w:rsidR="00923521" w:rsidRPr="00DC23C1" w:rsidRDefault="00923521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4360" w:type="dxa"/>
            <w:vMerge w:val="restart"/>
            <w:tcBorders>
              <w:top w:val="single" w:sz="12" w:space="0" w:color="181715"/>
            </w:tcBorders>
            <w:vAlign w:val="center"/>
          </w:tcPr>
          <w:p w14:paraId="4620C430" w14:textId="77777777" w:rsidR="00923521" w:rsidRPr="00DC23C1" w:rsidRDefault="00923521" w:rsidP="00D13555">
            <w:pPr>
              <w:spacing w:before="30"/>
              <w:ind w:right="241"/>
              <w:rPr>
                <w:rFonts w:asciiTheme="minorHAnsi" w:eastAsia="Arial" w:hAnsiTheme="minorHAnsi" w:cstheme="minorHAnsi"/>
                <w:lang w:val="de-DE"/>
              </w:rPr>
            </w:pPr>
            <w:bookmarkStart w:id="0" w:name="_Hlk108615829"/>
            <w:bookmarkStart w:id="1" w:name="_Hlk108615790"/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 xml:space="preserve">An Beispielen ausgewählter Vertreter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>aus dem Tier- und Pflanzenreich sind Bau und Funktion sowie Zusammen- hänge zwischen Bau, Lebensweise und Umwelt zu erarbeiten.</w:t>
            </w:r>
          </w:p>
          <w:p w14:paraId="620F65E7" w14:textId="653DE90E" w:rsidR="00923521" w:rsidRPr="00DC23C1" w:rsidRDefault="00923521" w:rsidP="00D13555">
            <w:pPr>
              <w:ind w:right="151"/>
              <w:rPr>
                <w:rFonts w:asciiTheme="minorHAnsi" w:hAnsiTheme="minorHAnsi" w:cstheme="minorHAnsi"/>
                <w:lang w:val="de-AT"/>
              </w:rPr>
            </w:pP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 xml:space="preserve">Die Schwerpunkte bilden </w:t>
            </w: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 xml:space="preserve">diejenigen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>Organismen, die für den Themen</w:t>
            </w: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 xml:space="preserve">bereich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 xml:space="preserve">Stadtökologie und das gewählte Ökosystem einer anderen Region von Bedeutung sind. </w:t>
            </w:r>
            <w:bookmarkEnd w:id="0"/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>Anhand von Stadt</w:t>
            </w: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 xml:space="preserve">ökologie und einem Ökosystem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 xml:space="preserve">einer anderen Region (zB Meer, Regenwald) sind </w:t>
            </w: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 xml:space="preserve">ökologische Grundbegriffe (biologisches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>Gleich</w:t>
            </w: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>gewicht, Nahrungs</w:t>
            </w: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softHyphen/>
              <w:t xml:space="preserve">beziehungen,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 xml:space="preserve">ökologische Nische, Produzent – Konsument – Destruent, Stoffkreisläufe) zu vertiefen. Positive wie negative Folgen </w:t>
            </w:r>
            <w:r w:rsidRPr="00DC23C1">
              <w:rPr>
                <w:rFonts w:asciiTheme="minorHAnsi" w:eastAsia="Arial" w:hAnsiTheme="minorHAnsi" w:cstheme="minorHAnsi"/>
                <w:color w:val="2B2A29"/>
                <w:lang w:val="de-DE"/>
              </w:rPr>
              <w:t xml:space="preserve">menschlichen Wirkens sind hinsichtlich 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t>ihrer Auswirkungen zu analysieren und zu hinter</w:t>
            </w:r>
            <w:r w:rsidRPr="00DC23C1">
              <w:rPr>
                <w:rFonts w:asciiTheme="minorHAnsi" w:eastAsia="Arial" w:hAnsiTheme="minorHAnsi" w:cstheme="minorHAnsi"/>
                <w:color w:val="181715"/>
                <w:lang w:val="de-DE"/>
              </w:rPr>
              <w:softHyphen/>
              <w:t>fragen. Umweltprobleme, deren Ursachen und Lösungsvorschläge sind zu erarbeiten. Umwelt-, Natur- und Biotopschutz sollen an konkreten Beispielen demonstriert werden.</w:t>
            </w:r>
          </w:p>
          <w:bookmarkEnd w:id="1"/>
          <w:p w14:paraId="6D7C0E2D" w14:textId="736FD4CB" w:rsidR="00923521" w:rsidRPr="00DC23C1" w:rsidRDefault="00923521" w:rsidP="00D13555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</w:tr>
      <w:tr w:rsidR="00923521" w:rsidRPr="00DC23C1" w14:paraId="1B5F9E29" w14:textId="77777777" w:rsidTr="004C1071">
        <w:trPr>
          <w:trHeight w:val="374"/>
        </w:trPr>
        <w:tc>
          <w:tcPr>
            <w:tcW w:w="1417" w:type="dxa"/>
          </w:tcPr>
          <w:p w14:paraId="5E55F5EF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2C8B794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093775DF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Leben in der Stadt</w:t>
            </w:r>
          </w:p>
        </w:tc>
        <w:tc>
          <w:tcPr>
            <w:tcW w:w="1032" w:type="dxa"/>
            <w:vAlign w:val="center"/>
          </w:tcPr>
          <w:p w14:paraId="2FB19BF8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104–105</w:t>
            </w:r>
          </w:p>
        </w:tc>
        <w:tc>
          <w:tcPr>
            <w:tcW w:w="4360" w:type="dxa"/>
            <w:vMerge/>
            <w:vAlign w:val="center"/>
          </w:tcPr>
          <w:p w14:paraId="4BB93629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67B8598A" w14:textId="77777777" w:rsidTr="004C1071">
        <w:trPr>
          <w:trHeight w:val="374"/>
        </w:trPr>
        <w:tc>
          <w:tcPr>
            <w:tcW w:w="1417" w:type="dxa"/>
          </w:tcPr>
          <w:p w14:paraId="3E434783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61B4468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F1C1F20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Ökosystem Stadt</w:t>
            </w:r>
          </w:p>
        </w:tc>
        <w:tc>
          <w:tcPr>
            <w:tcW w:w="1032" w:type="dxa"/>
            <w:vAlign w:val="center"/>
          </w:tcPr>
          <w:p w14:paraId="04E2E432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106–107</w:t>
            </w:r>
          </w:p>
        </w:tc>
        <w:tc>
          <w:tcPr>
            <w:tcW w:w="4360" w:type="dxa"/>
            <w:vMerge/>
            <w:vAlign w:val="center"/>
          </w:tcPr>
          <w:p w14:paraId="0F591647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429334CA" w14:textId="77777777" w:rsidTr="001C0C82">
        <w:trPr>
          <w:trHeight w:val="624"/>
        </w:trPr>
        <w:tc>
          <w:tcPr>
            <w:tcW w:w="1417" w:type="dxa"/>
          </w:tcPr>
          <w:p w14:paraId="264FE25E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1AC04D1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1F41A982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Unbelebte Faktoren im Lebensraum Stadt</w:t>
            </w:r>
          </w:p>
        </w:tc>
        <w:tc>
          <w:tcPr>
            <w:tcW w:w="1032" w:type="dxa"/>
            <w:vAlign w:val="center"/>
          </w:tcPr>
          <w:p w14:paraId="3510A310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108–109</w:t>
            </w:r>
          </w:p>
        </w:tc>
        <w:tc>
          <w:tcPr>
            <w:tcW w:w="4360" w:type="dxa"/>
            <w:vMerge/>
            <w:vAlign w:val="center"/>
          </w:tcPr>
          <w:p w14:paraId="5A4C778D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720F8D2E" w14:textId="77777777" w:rsidTr="004C1071">
        <w:trPr>
          <w:trHeight w:val="374"/>
        </w:trPr>
        <w:tc>
          <w:tcPr>
            <w:tcW w:w="1417" w:type="dxa"/>
          </w:tcPr>
          <w:p w14:paraId="245CF7AF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D96C74C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3C687677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Pflanzen in der Stadt</w:t>
            </w:r>
          </w:p>
        </w:tc>
        <w:tc>
          <w:tcPr>
            <w:tcW w:w="1032" w:type="dxa"/>
            <w:vAlign w:val="center"/>
          </w:tcPr>
          <w:p w14:paraId="0E95947E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110–111</w:t>
            </w:r>
          </w:p>
        </w:tc>
        <w:tc>
          <w:tcPr>
            <w:tcW w:w="4360" w:type="dxa"/>
            <w:vMerge/>
            <w:vAlign w:val="center"/>
          </w:tcPr>
          <w:p w14:paraId="1B6E5069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74EF6219" w14:textId="77777777" w:rsidTr="004C1071">
        <w:trPr>
          <w:trHeight w:val="374"/>
        </w:trPr>
        <w:tc>
          <w:tcPr>
            <w:tcW w:w="1417" w:type="dxa"/>
          </w:tcPr>
          <w:p w14:paraId="59A81106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FA20200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5338647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Tiere in der Stadt</w:t>
            </w:r>
          </w:p>
        </w:tc>
        <w:tc>
          <w:tcPr>
            <w:tcW w:w="1032" w:type="dxa"/>
            <w:vAlign w:val="center"/>
          </w:tcPr>
          <w:p w14:paraId="44B3282F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112–113</w:t>
            </w:r>
          </w:p>
        </w:tc>
        <w:tc>
          <w:tcPr>
            <w:tcW w:w="4360" w:type="dxa"/>
            <w:vMerge/>
            <w:vAlign w:val="center"/>
          </w:tcPr>
          <w:p w14:paraId="28197D79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456C4958" w14:textId="77777777" w:rsidTr="004C1071">
        <w:trPr>
          <w:trHeight w:val="374"/>
        </w:trPr>
        <w:tc>
          <w:tcPr>
            <w:tcW w:w="1417" w:type="dxa"/>
            <w:tcBorders>
              <w:bottom w:val="single" w:sz="12" w:space="0" w:color="181715"/>
            </w:tcBorders>
          </w:tcPr>
          <w:p w14:paraId="1E933C70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tcBorders>
              <w:bottom w:val="single" w:sz="12" w:space="0" w:color="181715"/>
            </w:tcBorders>
            <w:vAlign w:val="center"/>
          </w:tcPr>
          <w:p w14:paraId="11826923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bottom w:val="single" w:sz="12" w:space="0" w:color="181715"/>
            </w:tcBorders>
            <w:vAlign w:val="center"/>
          </w:tcPr>
          <w:p w14:paraId="53080C07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tcBorders>
              <w:bottom w:val="single" w:sz="12" w:space="0" w:color="181715"/>
            </w:tcBorders>
            <w:vAlign w:val="center"/>
          </w:tcPr>
          <w:p w14:paraId="76C237BD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114–115</w:t>
            </w:r>
          </w:p>
        </w:tc>
        <w:tc>
          <w:tcPr>
            <w:tcW w:w="4360" w:type="dxa"/>
            <w:vMerge/>
            <w:vAlign w:val="center"/>
          </w:tcPr>
          <w:p w14:paraId="13E14DA4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74C3BCC3" w14:textId="77777777" w:rsidTr="004C1071">
        <w:trPr>
          <w:trHeight w:val="374"/>
        </w:trPr>
        <w:tc>
          <w:tcPr>
            <w:tcW w:w="1417" w:type="dxa"/>
            <w:tcBorders>
              <w:top w:val="single" w:sz="12" w:space="0" w:color="181715"/>
            </w:tcBorders>
            <w:shd w:val="clear" w:color="auto" w:fill="E7ABC5"/>
          </w:tcPr>
          <w:p w14:paraId="66469AB8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3DAA784F" w14:textId="77777777" w:rsidR="00923521" w:rsidRPr="00DC23C1" w:rsidRDefault="00923521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2875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4FD64504" w14:textId="77777777" w:rsidR="00923521" w:rsidRPr="00DC23C1" w:rsidRDefault="00923521" w:rsidP="008D2D13">
            <w:pPr>
              <w:spacing w:before="57"/>
              <w:rPr>
                <w:rFonts w:asciiTheme="minorHAnsi" w:eastAsia="Arial" w:hAnsiTheme="minorHAnsi" w:cstheme="minorHAnsi"/>
                <w:b/>
                <w:lang w:val="de-DE"/>
              </w:rPr>
            </w:pPr>
            <w:r w:rsidRPr="00DC23C1">
              <w:rPr>
                <w:rFonts w:asciiTheme="minorHAnsi" w:eastAsia="Arial" w:hAnsiTheme="minorHAnsi" w:cstheme="minorHAnsi"/>
                <w:b/>
                <w:color w:val="181715"/>
                <w:lang w:val="de-DE"/>
              </w:rPr>
              <w:t>Lebensraum Meer</w:t>
            </w:r>
          </w:p>
        </w:tc>
        <w:tc>
          <w:tcPr>
            <w:tcW w:w="1032" w:type="dxa"/>
            <w:tcBorders>
              <w:top w:val="single" w:sz="12" w:space="0" w:color="181715"/>
            </w:tcBorders>
            <w:shd w:val="clear" w:color="auto" w:fill="E7ABC5"/>
            <w:vAlign w:val="center"/>
          </w:tcPr>
          <w:p w14:paraId="6A228DE1" w14:textId="77777777" w:rsidR="00923521" w:rsidRPr="00DC23C1" w:rsidRDefault="00923521" w:rsidP="008D2D13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4360" w:type="dxa"/>
            <w:vMerge/>
            <w:vAlign w:val="center"/>
          </w:tcPr>
          <w:p w14:paraId="4AA9F25D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0EE525B8" w14:textId="77777777" w:rsidTr="004C1071">
        <w:trPr>
          <w:trHeight w:val="374"/>
        </w:trPr>
        <w:tc>
          <w:tcPr>
            <w:tcW w:w="1417" w:type="dxa"/>
          </w:tcPr>
          <w:p w14:paraId="142D8306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31082C29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2192F677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Meere als Lebensräume</w:t>
            </w:r>
          </w:p>
        </w:tc>
        <w:tc>
          <w:tcPr>
            <w:tcW w:w="1032" w:type="dxa"/>
            <w:vAlign w:val="center"/>
          </w:tcPr>
          <w:p w14:paraId="1E05F758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116–117</w:t>
            </w:r>
          </w:p>
        </w:tc>
        <w:tc>
          <w:tcPr>
            <w:tcW w:w="4360" w:type="dxa"/>
            <w:vMerge/>
            <w:vAlign w:val="center"/>
          </w:tcPr>
          <w:p w14:paraId="65EEA2B7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0AE5DB61" w14:textId="77777777" w:rsidTr="004C1071">
        <w:trPr>
          <w:trHeight w:val="374"/>
        </w:trPr>
        <w:tc>
          <w:tcPr>
            <w:tcW w:w="1417" w:type="dxa"/>
          </w:tcPr>
          <w:p w14:paraId="07E4B227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B933F62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0AF37BCE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Ökosystem Meer</w:t>
            </w:r>
          </w:p>
        </w:tc>
        <w:tc>
          <w:tcPr>
            <w:tcW w:w="1032" w:type="dxa"/>
            <w:vAlign w:val="center"/>
          </w:tcPr>
          <w:p w14:paraId="39E14236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118–119</w:t>
            </w:r>
          </w:p>
        </w:tc>
        <w:tc>
          <w:tcPr>
            <w:tcW w:w="4360" w:type="dxa"/>
            <w:vMerge/>
            <w:vAlign w:val="center"/>
          </w:tcPr>
          <w:p w14:paraId="11B5EA30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923521" w:rsidRPr="00DC23C1" w14:paraId="6CFDFD2E" w14:textId="77777777" w:rsidTr="004C1071">
        <w:trPr>
          <w:trHeight w:val="374"/>
        </w:trPr>
        <w:tc>
          <w:tcPr>
            <w:tcW w:w="1417" w:type="dxa"/>
          </w:tcPr>
          <w:p w14:paraId="2F1DC499" w14:textId="77777777" w:rsidR="00923521" w:rsidRPr="00DC23C1" w:rsidRDefault="00923521" w:rsidP="005E669E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40BE971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78074EF1" w14:textId="77777777" w:rsidR="00923521" w:rsidRPr="008D2D13" w:rsidRDefault="00923521" w:rsidP="008D2D13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Wirbeltiere im Meer</w:t>
            </w:r>
          </w:p>
        </w:tc>
        <w:tc>
          <w:tcPr>
            <w:tcW w:w="1032" w:type="dxa"/>
            <w:vAlign w:val="center"/>
          </w:tcPr>
          <w:p w14:paraId="4B6C6AE9" w14:textId="77777777" w:rsidR="00923521" w:rsidRPr="008D2D13" w:rsidRDefault="00923521" w:rsidP="008D2D13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120–121</w:t>
            </w:r>
          </w:p>
        </w:tc>
        <w:tc>
          <w:tcPr>
            <w:tcW w:w="4360" w:type="dxa"/>
            <w:vMerge/>
            <w:vAlign w:val="center"/>
          </w:tcPr>
          <w:p w14:paraId="194E5420" w14:textId="77777777" w:rsidR="00923521" w:rsidRPr="00DC23C1" w:rsidRDefault="00923521" w:rsidP="00D13555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092572" w:rsidRPr="00DC23C1" w14:paraId="565A5316" w14:textId="77777777" w:rsidTr="004C1071">
        <w:trPr>
          <w:trHeight w:val="374"/>
        </w:trPr>
        <w:tc>
          <w:tcPr>
            <w:tcW w:w="1417" w:type="dxa"/>
          </w:tcPr>
          <w:p w14:paraId="17BAFBF5" w14:textId="77777777" w:rsidR="00092572" w:rsidRPr="00DC23C1" w:rsidRDefault="00092572" w:rsidP="00092572">
            <w:pPr>
              <w:rPr>
                <w:rFonts w:asciiTheme="minorHAnsi" w:eastAsia="Arial" w:hAnsiTheme="minorHAnsi" w:cstheme="minorHAnsi"/>
                <w:sz w:val="20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B60AB4F" w14:textId="07F02244" w:rsidR="00092572" w:rsidRPr="008D2D13" w:rsidRDefault="00092572" w:rsidP="00092572">
            <w:pPr>
              <w:pStyle w:val="berschrift1"/>
              <w:jc w:val="center"/>
              <w:outlineLvl w:val="0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vAlign w:val="center"/>
          </w:tcPr>
          <w:p w14:paraId="4698F693" w14:textId="225F40A7" w:rsidR="00092572" w:rsidRPr="008D2D13" w:rsidRDefault="00092572" w:rsidP="00092572">
            <w:pPr>
              <w:pStyle w:val="berschrift1"/>
              <w:outlineLvl w:val="0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Wirbellose Tiere im Meer</w:t>
            </w:r>
          </w:p>
        </w:tc>
        <w:tc>
          <w:tcPr>
            <w:tcW w:w="1032" w:type="dxa"/>
            <w:vAlign w:val="center"/>
          </w:tcPr>
          <w:p w14:paraId="75384F6C" w14:textId="3B40181E" w:rsidR="00092572" w:rsidRPr="008D2D13" w:rsidRDefault="00092572" w:rsidP="00092572">
            <w:pPr>
              <w:pStyle w:val="berschrift1"/>
              <w:jc w:val="center"/>
              <w:outlineLvl w:val="0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122–123</w:t>
            </w:r>
          </w:p>
        </w:tc>
        <w:tc>
          <w:tcPr>
            <w:tcW w:w="4360" w:type="dxa"/>
            <w:vMerge/>
            <w:vAlign w:val="center"/>
          </w:tcPr>
          <w:p w14:paraId="0C4BE344" w14:textId="77777777" w:rsidR="00092572" w:rsidRPr="00DC23C1" w:rsidRDefault="00092572" w:rsidP="00092572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092572" w:rsidRPr="00DC23C1" w14:paraId="569B9821" w14:textId="77777777" w:rsidTr="001C0C82">
        <w:trPr>
          <w:trHeight w:val="624"/>
        </w:trPr>
        <w:tc>
          <w:tcPr>
            <w:tcW w:w="1417" w:type="dxa"/>
            <w:tcBorders>
              <w:top w:val="single" w:sz="4" w:space="0" w:color="auto"/>
              <w:bottom w:val="single" w:sz="4" w:space="0" w:color="181715"/>
            </w:tcBorders>
          </w:tcPr>
          <w:p w14:paraId="034B5A86" w14:textId="77777777" w:rsidR="00092572" w:rsidRPr="00DC23C1" w:rsidRDefault="00092572" w:rsidP="00092572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181715"/>
            </w:tcBorders>
            <w:vAlign w:val="center"/>
          </w:tcPr>
          <w:p w14:paraId="7CDC7DE6" w14:textId="77777777" w:rsidR="00092572" w:rsidRPr="008D2D13" w:rsidRDefault="00092572" w:rsidP="00092572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181715"/>
            </w:tcBorders>
            <w:vAlign w:val="center"/>
          </w:tcPr>
          <w:p w14:paraId="31D6DBBE" w14:textId="5C7EDA58" w:rsidR="00092572" w:rsidRPr="008D2D13" w:rsidRDefault="00092572" w:rsidP="00092572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Stachelhäuter – wirbellose Meerestiere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181715"/>
            </w:tcBorders>
            <w:vAlign w:val="center"/>
          </w:tcPr>
          <w:p w14:paraId="1AB8C3E5" w14:textId="77777777" w:rsidR="00092572" w:rsidRPr="008D2D13" w:rsidRDefault="00092572" w:rsidP="00092572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124–125</w:t>
            </w:r>
          </w:p>
        </w:tc>
        <w:tc>
          <w:tcPr>
            <w:tcW w:w="4360" w:type="dxa"/>
            <w:vMerge/>
            <w:tcBorders>
              <w:bottom w:val="single" w:sz="4" w:space="0" w:color="181715"/>
            </w:tcBorders>
            <w:vAlign w:val="center"/>
          </w:tcPr>
          <w:p w14:paraId="3D3FE0B0" w14:textId="77777777" w:rsidR="00092572" w:rsidRPr="00DC23C1" w:rsidRDefault="00092572" w:rsidP="00092572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  <w:tr w:rsidR="00092572" w:rsidRPr="00DC23C1" w14:paraId="72913947" w14:textId="77777777" w:rsidTr="004C1071">
        <w:trPr>
          <w:trHeight w:val="374"/>
        </w:trPr>
        <w:tc>
          <w:tcPr>
            <w:tcW w:w="1417" w:type="dxa"/>
            <w:tcBorders>
              <w:bottom w:val="single" w:sz="4" w:space="0" w:color="auto"/>
            </w:tcBorders>
          </w:tcPr>
          <w:p w14:paraId="2A27FBD0" w14:textId="77777777" w:rsidR="00092572" w:rsidRPr="00DC23C1" w:rsidRDefault="00092572" w:rsidP="00092572">
            <w:pPr>
              <w:rPr>
                <w:rFonts w:asciiTheme="minorHAnsi" w:eastAsia="Arial" w:hAnsiTheme="minorHAnsi" w:cstheme="minorHAnsi"/>
                <w:lang w:val="de-DE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5AF41B86" w14:textId="77777777" w:rsidR="00092572" w:rsidRPr="008D2D13" w:rsidRDefault="00092572" w:rsidP="00092572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61D0D006" w14:textId="77777777" w:rsidR="00092572" w:rsidRPr="008D2D13" w:rsidRDefault="00092572" w:rsidP="00092572">
            <w:pPr>
              <w:pStyle w:val="berschrift1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Basis und Plus – Das kann ich!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22C9690C" w14:textId="77777777" w:rsidR="00092572" w:rsidRPr="008D2D13" w:rsidRDefault="00092572" w:rsidP="00092572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</w:pPr>
            <w:r w:rsidRPr="008D2D13">
              <w:rPr>
                <w:rFonts w:asciiTheme="minorHAnsi" w:eastAsia="Times" w:hAnsiTheme="minorHAnsi" w:cstheme="minorHAnsi"/>
                <w:b w:val="0"/>
                <w:sz w:val="22"/>
                <w:szCs w:val="22"/>
              </w:rPr>
              <w:t>126–127</w:t>
            </w:r>
          </w:p>
        </w:tc>
        <w:tc>
          <w:tcPr>
            <w:tcW w:w="4360" w:type="dxa"/>
            <w:vMerge/>
            <w:tcBorders>
              <w:bottom w:val="single" w:sz="4" w:space="0" w:color="auto"/>
            </w:tcBorders>
            <w:vAlign w:val="center"/>
          </w:tcPr>
          <w:p w14:paraId="23CFB64C" w14:textId="77777777" w:rsidR="00092572" w:rsidRPr="00DC23C1" w:rsidRDefault="00092572" w:rsidP="00092572">
            <w:pPr>
              <w:rPr>
                <w:rFonts w:asciiTheme="minorHAnsi" w:eastAsia="Times" w:hAnsiTheme="minorHAnsi" w:cstheme="minorHAnsi"/>
                <w:sz w:val="2"/>
                <w:szCs w:val="2"/>
                <w:lang w:val="de-DE" w:eastAsia="de-DE"/>
              </w:rPr>
            </w:pPr>
          </w:p>
        </w:tc>
      </w:tr>
    </w:tbl>
    <w:p w14:paraId="0609C0A6" w14:textId="77777777" w:rsidR="002A3C2E" w:rsidRPr="002A3C2E" w:rsidRDefault="002A3C2E" w:rsidP="002A3C2E">
      <w:pPr>
        <w:rPr>
          <w:rFonts w:asciiTheme="minorHAnsi" w:hAnsiTheme="minorHAnsi" w:cstheme="minorHAnsi"/>
          <w:sz w:val="12"/>
          <w:szCs w:val="12"/>
        </w:rPr>
      </w:pPr>
    </w:p>
    <w:p w14:paraId="7AA91F90" w14:textId="46AA53A1" w:rsidR="001B44EF" w:rsidRPr="002A3C2E" w:rsidRDefault="002A3C2E" w:rsidP="002A3C2E">
      <w:pPr>
        <w:rPr>
          <w:rFonts w:asciiTheme="minorHAnsi" w:hAnsiTheme="minorHAnsi" w:cstheme="minorHAnsi"/>
        </w:rPr>
      </w:pPr>
      <w:r w:rsidRPr="002A3C2E">
        <w:rPr>
          <w:rFonts w:asciiTheme="minorHAnsi" w:hAnsiTheme="minorHAnsi" w:cstheme="minorHAnsi"/>
        </w:rPr>
        <w:t xml:space="preserve">Eine ausführlichere Muster-Jahresplanung finden Sie auf </w:t>
      </w:r>
      <w:hyperlink r:id="rId7" w:history="1">
        <w:r w:rsidRPr="002A3C2E">
          <w:rPr>
            <w:rStyle w:val="Hyperlink"/>
            <w:rFonts w:asciiTheme="minorHAnsi" w:hAnsiTheme="minorHAnsi" w:cstheme="minorHAnsi"/>
          </w:rPr>
          <w:t>www.oebv.at</w:t>
        </w:r>
      </w:hyperlink>
      <w:r w:rsidRPr="002A3C2E">
        <w:rPr>
          <w:rFonts w:asciiTheme="minorHAnsi" w:hAnsiTheme="minorHAnsi" w:cstheme="minorHAnsi"/>
        </w:rPr>
        <w:t xml:space="preserve"> mit dem Online-Code </w:t>
      </w:r>
      <w:r w:rsidR="005E669E" w:rsidRPr="002A3C2E">
        <w:rPr>
          <w:rFonts w:asciiTheme="minorHAnsi" w:hAnsiTheme="minorHAnsi" w:cstheme="minorHAnsi"/>
        </w:rPr>
        <w:t>db8b78.</w:t>
      </w:r>
    </w:p>
    <w:sectPr w:rsidR="001B44EF" w:rsidRPr="002A3C2E" w:rsidSect="001B44EF">
      <w:footerReference w:type="default" r:id="rId8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A436" w14:textId="77777777" w:rsidR="00BD638E" w:rsidRDefault="00BD638E" w:rsidP="0037761B">
      <w:pPr>
        <w:spacing w:after="0" w:line="240" w:lineRule="auto"/>
      </w:pPr>
      <w:r>
        <w:separator/>
      </w:r>
    </w:p>
  </w:endnote>
  <w:endnote w:type="continuationSeparator" w:id="0">
    <w:p w14:paraId="6459A7F5" w14:textId="77777777" w:rsidR="00BD638E" w:rsidRDefault="00BD638E" w:rsidP="0037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025C" w14:textId="20D28A83" w:rsidR="0037761B" w:rsidRPr="0037761B" w:rsidRDefault="0037761B" w:rsidP="0037761B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 w:rsidRPr="0037761B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A2755B" wp14:editId="1F7CD750">
              <wp:simplePos x="0" y="0"/>
              <wp:positionH relativeFrom="column">
                <wp:posOffset>6024880</wp:posOffset>
              </wp:positionH>
              <wp:positionV relativeFrom="paragraph">
                <wp:posOffset>15240</wp:posOffset>
              </wp:positionV>
              <wp:extent cx="53848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2D88F4" w14:textId="77777777" w:rsidR="0037761B" w:rsidRPr="009B47D2" w:rsidRDefault="0037761B" w:rsidP="0037761B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9B47D2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9B47D2">
                            <w:rPr>
                              <w:rFonts w:asciiTheme="minorHAnsi" w:hAnsiTheme="minorHAnsi" w:cstheme="minorHAnsi"/>
                            </w:rPr>
                            <w:instrText xml:space="preserve"> PAGE   \* MERGEFORMAT </w:instrText>
                          </w:r>
                          <w:r w:rsidRPr="009B47D2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9B47D2">
                            <w:rPr>
                              <w:rFonts w:asciiTheme="minorHAnsi" w:hAnsiTheme="minorHAnsi" w:cstheme="minorHAnsi"/>
                              <w:noProof/>
                            </w:rPr>
                            <w:t>1</w:t>
                          </w:r>
                          <w:r w:rsidRPr="009B47D2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2755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4.4pt;margin-top:1.2pt;width:42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bbDQIAAPY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" stroked="f">
              <v:textbox style="mso-fit-shape-to-text:t">
                <w:txbxContent>
                  <w:p w14:paraId="7D2D88F4" w14:textId="77777777" w:rsidR="0037761B" w:rsidRPr="009B47D2" w:rsidRDefault="0037761B" w:rsidP="0037761B">
                    <w:pPr>
                      <w:rPr>
                        <w:rFonts w:asciiTheme="minorHAnsi" w:hAnsiTheme="minorHAnsi" w:cstheme="minorHAnsi"/>
                      </w:rPr>
                    </w:pPr>
                    <w:r w:rsidRPr="009B47D2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9B47D2">
                      <w:rPr>
                        <w:rFonts w:asciiTheme="minorHAnsi" w:hAnsiTheme="minorHAnsi" w:cstheme="minorHAnsi"/>
                      </w:rPr>
                      <w:instrText xml:space="preserve"> PAGE   \* MERGEFORMAT </w:instrText>
                    </w:r>
                    <w:r w:rsidRPr="009B47D2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9B47D2">
                      <w:rPr>
                        <w:rFonts w:asciiTheme="minorHAnsi" w:hAnsiTheme="minorHAnsi" w:cstheme="minorHAnsi"/>
                        <w:noProof/>
                      </w:rPr>
                      <w:t>1</w:t>
                    </w:r>
                    <w:r w:rsidRPr="009B47D2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7761B">
      <w:rPr>
        <w:rFonts w:cs="Arial"/>
        <w:color w:val="595959"/>
        <w:sz w:val="12"/>
        <w:szCs w:val="12"/>
      </w:rPr>
      <w:t>© Österreichischer Bundesverlag Schulbuch GmbH &amp; Co. KG, Wien 202</w:t>
    </w:r>
    <w:r w:rsidR="008D3055">
      <w:rPr>
        <w:rFonts w:cs="Arial"/>
        <w:color w:val="595959"/>
        <w:sz w:val="12"/>
        <w:szCs w:val="12"/>
      </w:rPr>
      <w:t>2</w:t>
    </w:r>
    <w:r w:rsidRPr="0037761B">
      <w:rPr>
        <w:rFonts w:cs="Arial"/>
        <w:color w:val="595959"/>
        <w:sz w:val="12"/>
        <w:szCs w:val="12"/>
      </w:rPr>
      <w:t xml:space="preserve"> | www.oebv.at </w:t>
    </w:r>
    <w:r w:rsidRPr="0037761B">
      <w:rPr>
        <w:rFonts w:cs="Arial"/>
        <w:color w:val="595959"/>
        <w:sz w:val="12"/>
        <w:szCs w:val="12"/>
      </w:rPr>
      <w:tab/>
    </w:r>
    <w:r w:rsidRPr="0037761B">
      <w:rPr>
        <w:rFonts w:cs="Arial"/>
        <w:color w:val="595959"/>
        <w:sz w:val="12"/>
        <w:szCs w:val="12"/>
      </w:rPr>
      <w:tab/>
    </w:r>
    <w:r w:rsidRPr="0037761B">
      <w:rPr>
        <w:rFonts w:cs="Arial"/>
        <w:color w:val="595959"/>
        <w:sz w:val="12"/>
        <w:szCs w:val="12"/>
      </w:rPr>
      <w:tab/>
    </w:r>
    <w:r w:rsidRPr="0037761B">
      <w:rPr>
        <w:rFonts w:cs="Arial"/>
        <w:color w:val="595959"/>
        <w:sz w:val="12"/>
        <w:szCs w:val="12"/>
      </w:rPr>
      <w:tab/>
    </w:r>
    <w:r w:rsidRPr="0037761B">
      <w:rPr>
        <w:rFonts w:cs="Arial"/>
        <w:color w:val="595959"/>
        <w:sz w:val="12"/>
        <w:szCs w:val="12"/>
      </w:rPr>
      <w:tab/>
    </w:r>
    <w:r w:rsidRPr="0037761B">
      <w:rPr>
        <w:rFonts w:cs="Arial"/>
        <w:color w:val="595959"/>
        <w:sz w:val="12"/>
        <w:szCs w:val="12"/>
      </w:rPr>
      <w:tab/>
    </w:r>
  </w:p>
  <w:p w14:paraId="372357DE" w14:textId="77777777" w:rsidR="0037761B" w:rsidRPr="0037761B" w:rsidRDefault="0037761B" w:rsidP="0037761B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 w:rsidRPr="0037761B">
      <w:rPr>
        <w:rFonts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430D7C1" w14:textId="61EEAE52" w:rsidR="0037761B" w:rsidRDefault="0037761B" w:rsidP="0037761B">
    <w:pPr>
      <w:pStyle w:val="Fuzeile"/>
    </w:pPr>
    <w:r w:rsidRPr="0037761B">
      <w:rPr>
        <w:rFonts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14DA" w14:textId="77777777" w:rsidR="00BD638E" w:rsidRDefault="00BD638E" w:rsidP="0037761B">
      <w:pPr>
        <w:spacing w:after="0" w:line="240" w:lineRule="auto"/>
      </w:pPr>
      <w:r>
        <w:separator/>
      </w:r>
    </w:p>
  </w:footnote>
  <w:footnote w:type="continuationSeparator" w:id="0">
    <w:p w14:paraId="3EFFB1B3" w14:textId="77777777" w:rsidR="00BD638E" w:rsidRDefault="00BD638E" w:rsidP="0037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940BC"/>
    <w:multiLevelType w:val="hybridMultilevel"/>
    <w:tmpl w:val="7B201B8A"/>
    <w:lvl w:ilvl="0" w:tplc="3EA22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F791F"/>
    <w:multiLevelType w:val="multilevel"/>
    <w:tmpl w:val="DAA69444"/>
    <w:lvl w:ilvl="0">
      <w:start w:val="1"/>
      <w:numFmt w:val="decimal"/>
      <w:pStyle w:val="berschrif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6250721">
    <w:abstractNumId w:val="0"/>
  </w:num>
  <w:num w:numId="2" w16cid:durableId="915669600">
    <w:abstractNumId w:val="0"/>
  </w:num>
  <w:num w:numId="3" w16cid:durableId="91235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9E"/>
    <w:rsid w:val="000502A0"/>
    <w:rsid w:val="00092572"/>
    <w:rsid w:val="0011265D"/>
    <w:rsid w:val="0019219E"/>
    <w:rsid w:val="001A55F3"/>
    <w:rsid w:val="001B44EF"/>
    <w:rsid w:val="001C0C82"/>
    <w:rsid w:val="0027394B"/>
    <w:rsid w:val="002A3C2E"/>
    <w:rsid w:val="002D2106"/>
    <w:rsid w:val="002D34E6"/>
    <w:rsid w:val="002F2E9E"/>
    <w:rsid w:val="00323E48"/>
    <w:rsid w:val="00353F70"/>
    <w:rsid w:val="0037761B"/>
    <w:rsid w:val="003C41E6"/>
    <w:rsid w:val="003E45F8"/>
    <w:rsid w:val="004C1071"/>
    <w:rsid w:val="005428D4"/>
    <w:rsid w:val="005556B3"/>
    <w:rsid w:val="005C354C"/>
    <w:rsid w:val="005E2F59"/>
    <w:rsid w:val="005E669E"/>
    <w:rsid w:val="00685475"/>
    <w:rsid w:val="006937C0"/>
    <w:rsid w:val="006F0DBC"/>
    <w:rsid w:val="00700FEB"/>
    <w:rsid w:val="00705633"/>
    <w:rsid w:val="007536AC"/>
    <w:rsid w:val="008452AA"/>
    <w:rsid w:val="00887FED"/>
    <w:rsid w:val="008D2D13"/>
    <w:rsid w:val="008D3055"/>
    <w:rsid w:val="008D58EC"/>
    <w:rsid w:val="00902F73"/>
    <w:rsid w:val="00923521"/>
    <w:rsid w:val="00952039"/>
    <w:rsid w:val="00952240"/>
    <w:rsid w:val="00987DBA"/>
    <w:rsid w:val="00997A5D"/>
    <w:rsid w:val="009B47D2"/>
    <w:rsid w:val="00A539A8"/>
    <w:rsid w:val="00A71D84"/>
    <w:rsid w:val="00A97184"/>
    <w:rsid w:val="00AE364C"/>
    <w:rsid w:val="00B90DB1"/>
    <w:rsid w:val="00B91934"/>
    <w:rsid w:val="00BD638E"/>
    <w:rsid w:val="00C46A72"/>
    <w:rsid w:val="00CF254A"/>
    <w:rsid w:val="00D02C93"/>
    <w:rsid w:val="00D11D83"/>
    <w:rsid w:val="00D13555"/>
    <w:rsid w:val="00D54C06"/>
    <w:rsid w:val="00D9621F"/>
    <w:rsid w:val="00DC23C1"/>
    <w:rsid w:val="00E75148"/>
    <w:rsid w:val="00EB2B65"/>
    <w:rsid w:val="00F26265"/>
    <w:rsid w:val="00F812CD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9E83C"/>
  <w15:chartTrackingRefBased/>
  <w15:docId w15:val="{EB0FE048-D49D-453A-A509-D7501B6B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6A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8D2D13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  <w:lang w:val="de-DE" w:eastAsia="de-DE"/>
    </w:rPr>
  </w:style>
  <w:style w:type="paragraph" w:styleId="berschrift4">
    <w:name w:val="heading 4"/>
    <w:aliases w:val="Tagebuch"/>
    <w:basedOn w:val="Standard"/>
    <w:next w:val="KeinLeerraum"/>
    <w:link w:val="berschrift4Zchn"/>
    <w:uiPriority w:val="9"/>
    <w:qFormat/>
    <w:rsid w:val="005428D4"/>
    <w:pPr>
      <w:numPr>
        <w:numId w:val="3"/>
      </w:numPr>
      <w:spacing w:before="100" w:beforeAutospacing="1" w:after="100" w:afterAutospacing="1" w:line="240" w:lineRule="auto"/>
      <w:ind w:hanging="360"/>
      <w:outlineLvl w:val="3"/>
    </w:pPr>
    <w:rPr>
      <w:rFonts w:eastAsia="Times New Roman" w:cs="Times New Roman"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aliases w:val="Tagebuch Zchn"/>
    <w:basedOn w:val="Absatz-Standardschriftart"/>
    <w:link w:val="berschrift4"/>
    <w:uiPriority w:val="9"/>
    <w:rsid w:val="005428D4"/>
    <w:rPr>
      <w:rFonts w:ascii="Arial" w:eastAsia="Times New Roman" w:hAnsi="Arial" w:cs="Times New Roman"/>
      <w:bCs/>
      <w:sz w:val="24"/>
      <w:szCs w:val="24"/>
      <w:lang w:eastAsia="de-AT"/>
    </w:rPr>
  </w:style>
  <w:style w:type="paragraph" w:styleId="KeinLeerraum">
    <w:name w:val="No Spacing"/>
    <w:uiPriority w:val="1"/>
    <w:qFormat/>
    <w:rsid w:val="005428D4"/>
    <w:pPr>
      <w:spacing w:after="0" w:line="240" w:lineRule="auto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5E66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7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761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7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761B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8D2D13"/>
    <w:rPr>
      <w:rFonts w:ascii="Times" w:eastAsia="Times New Roman" w:hAnsi="Times" w:cs="Times New Roman"/>
      <w:b/>
      <w:sz w:val="24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A3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eb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Nemecek, DI Sandra</cp:lastModifiedBy>
  <cp:revision>38</cp:revision>
  <dcterms:created xsi:type="dcterms:W3CDTF">2022-07-13T10:01:00Z</dcterms:created>
  <dcterms:modified xsi:type="dcterms:W3CDTF">2022-07-19T06:49:00Z</dcterms:modified>
</cp:coreProperties>
</file>