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3C" w:rsidRPr="00823259" w:rsidRDefault="00FA4935" w:rsidP="001E1409">
      <w:pPr>
        <w:rPr>
          <w:rFonts w:ascii="Arial" w:hAnsi="Arial"/>
          <w:b/>
          <w:color w:val="000000"/>
          <w:sz w:val="23"/>
          <w:szCs w:val="23"/>
          <w:lang w:val="en-GB"/>
        </w:rPr>
      </w:pPr>
      <w:r w:rsidRPr="00823259">
        <w:rPr>
          <w:rFonts w:ascii="Arial" w:hAnsi="Arial"/>
          <w:b/>
          <w:color w:val="000000"/>
          <w:sz w:val="23"/>
          <w:szCs w:val="23"/>
          <w:lang w:val="en-GB"/>
        </w:rPr>
        <w:t>CEFR*-</w:t>
      </w:r>
      <w:r w:rsidR="00475B8B" w:rsidRPr="00823259">
        <w:rPr>
          <w:rFonts w:ascii="Arial" w:hAnsi="Arial"/>
          <w:b/>
          <w:color w:val="000000"/>
          <w:sz w:val="23"/>
          <w:szCs w:val="23"/>
          <w:lang w:val="en-GB"/>
        </w:rPr>
        <w:t>De</w:t>
      </w:r>
      <w:r w:rsidR="0098183C" w:rsidRPr="00823259">
        <w:rPr>
          <w:rFonts w:ascii="Arial" w:hAnsi="Arial"/>
          <w:b/>
          <w:color w:val="000000"/>
          <w:sz w:val="23"/>
          <w:szCs w:val="23"/>
          <w:lang w:val="en-GB"/>
        </w:rPr>
        <w:t>scriptors (Check-out pages)</w:t>
      </w:r>
    </w:p>
    <w:p w:rsidR="0098183C" w:rsidRPr="00823259" w:rsidRDefault="0098183C" w:rsidP="00B81F07">
      <w:pPr>
        <w:rPr>
          <w:rFonts w:ascii="Arial" w:hAnsi="Arial"/>
          <w:color w:val="000000"/>
          <w:sz w:val="20"/>
          <w:lang w:val="en-GB"/>
        </w:rPr>
      </w:pPr>
    </w:p>
    <w:p w:rsidR="00B81F07" w:rsidRPr="00B21F6F" w:rsidRDefault="00B81F07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bookmarkStart w:id="0" w:name="_GoBack"/>
      <w:bookmarkEnd w:id="0"/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Listening</w:t>
      </w:r>
    </w:p>
    <w:p w:rsidR="00067615" w:rsidRPr="00B21F6F" w:rsidRDefault="00067615" w:rsidP="00D32486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understand the information content of the majority of recorded or broadcast audio material on topics of personal interest delivered in clear standard speech.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1</w:t>
      </w:r>
    </w:p>
    <w:p w:rsidR="00067615" w:rsidRPr="00B21F6F" w:rsidRDefault="00067615" w:rsidP="00D32486">
      <w:pPr>
        <w:numPr>
          <w:ilvl w:val="0"/>
          <w:numId w:val="7"/>
        </w:numPr>
        <w:tabs>
          <w:tab w:val="clear" w:pos="567"/>
          <w:tab w:val="num" w:pos="284"/>
          <w:tab w:val="right" w:pos="9356"/>
        </w:tabs>
        <w:autoSpaceDE w:val="0"/>
        <w:autoSpaceDN w:val="0"/>
        <w:adjustRightInd w:val="0"/>
        <w:ind w:left="284" w:hanging="284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understand straightforward factual information about common everyday or job related topics, identifying both general messages and specific details, provided speech is clearly articulated in a generally familiar accent.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5</w:t>
      </w:r>
      <w:r w:rsidR="000D581B"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, Unit 7</w:t>
      </w:r>
    </w:p>
    <w:p w:rsidR="00067615" w:rsidRPr="00B21F6F" w:rsidRDefault="00067615" w:rsidP="00D32486">
      <w:pPr>
        <w:pStyle w:val="FirstParagrBullets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szCs w:val="19"/>
        </w:rPr>
      </w:pPr>
      <w:r w:rsidRPr="00B21F6F">
        <w:rPr>
          <w:sz w:val="19"/>
          <w:szCs w:val="19"/>
        </w:rPr>
        <w:t xml:space="preserve">Can generally follow the main points of extended discussion around him/her, provided speech is clearly articulated in standard dialect. (B1) – </w:t>
      </w:r>
      <w:r w:rsidRPr="00B21F6F">
        <w:rPr>
          <w:rFonts w:cs="PoloST11K-Leicht"/>
          <w:b/>
          <w:color w:val="000000"/>
          <w:sz w:val="19"/>
          <w:szCs w:val="19"/>
        </w:rPr>
        <w:t>Unit 6</w:t>
      </w:r>
    </w:p>
    <w:p w:rsidR="00B81F07" w:rsidRPr="00B21F6F" w:rsidRDefault="00067615" w:rsidP="00D32486">
      <w:pPr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keep up with an animated conversation between native speakers. (B2)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9</w:t>
      </w:r>
    </w:p>
    <w:p w:rsidR="00067615" w:rsidRPr="00B21F6F" w:rsidRDefault="00067615" w:rsidP="00067615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81F07" w:rsidRPr="00B21F6F" w:rsidRDefault="00B81F07" w:rsidP="0007259E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Reading</w:t>
      </w:r>
    </w:p>
    <w:p w:rsidR="00067615" w:rsidRPr="00B21F6F" w:rsidRDefault="00067615" w:rsidP="00D32486">
      <w:pPr>
        <w:pStyle w:val="FirstParagr10"/>
        <w:numPr>
          <w:ilvl w:val="0"/>
          <w:numId w:val="8"/>
        </w:numPr>
        <w:jc w:val="left"/>
        <w:rPr>
          <w:rStyle w:val="Funotenzeichen"/>
          <w:position w:val="0"/>
          <w:sz w:val="19"/>
        </w:rPr>
      </w:pPr>
      <w:r w:rsidRPr="00B21F6F">
        <w:rPr>
          <w:rStyle w:val="Funotenzeichen"/>
          <w:position w:val="0"/>
          <w:sz w:val="19"/>
        </w:rPr>
        <w:t>Can scan longer texts in order to locate desired information, and gather information from different parts of a text, or from different texts in order to fulfil a specific task.</w:t>
      </w:r>
      <w:r w:rsidRPr="00B21F6F">
        <w:rPr>
          <w:sz w:val="19"/>
          <w:lang w:val="en-GB"/>
        </w:rPr>
        <w:t xml:space="preserve">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1</w:t>
      </w:r>
    </w:p>
    <w:p w:rsidR="00067615" w:rsidRPr="00B21F6F" w:rsidRDefault="00067615" w:rsidP="00D32486">
      <w:pPr>
        <w:pStyle w:val="FirstParagr10"/>
        <w:numPr>
          <w:ilvl w:val="0"/>
          <w:numId w:val="8"/>
        </w:numPr>
        <w:jc w:val="left"/>
        <w:rPr>
          <w:iCs w:val="0"/>
          <w:sz w:val="19"/>
          <w:lang w:val="en-GB"/>
        </w:rPr>
      </w:pPr>
      <w:r w:rsidRPr="00B21F6F">
        <w:rPr>
          <w:iCs w:val="0"/>
          <w:sz w:val="19"/>
          <w:lang w:val="en-GB"/>
        </w:rPr>
        <w:t xml:space="preserve">Can recognise the line of argument in the treatment of the issue presented, though not necessarily in detail.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3</w:t>
      </w:r>
    </w:p>
    <w:p w:rsidR="00067615" w:rsidRPr="00B21F6F" w:rsidRDefault="00067615" w:rsidP="00D32486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read straightforward factual texts on subjects related to his/her field and interest with a satisfactory level of comprehension.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4</w:t>
      </w:r>
      <w:r w:rsidR="000D581B"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, Unit 10</w:t>
      </w:r>
    </w:p>
    <w:p w:rsidR="00067615" w:rsidRPr="00B21F6F" w:rsidRDefault="00067615" w:rsidP="00D32486">
      <w:pPr>
        <w:pStyle w:val="FirstParagr10"/>
        <w:numPr>
          <w:ilvl w:val="0"/>
          <w:numId w:val="8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recognise significant points in straightforward newspaper articles on familiar subjects.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8</w:t>
      </w:r>
    </w:p>
    <w:p w:rsidR="00B81F07" w:rsidRPr="00B21F6F" w:rsidRDefault="00B81F07" w:rsidP="0098183C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B4FAB" w:rsidRPr="00B21F6F" w:rsidRDefault="00BB4FAB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Sp</w:t>
      </w:r>
      <w:r w:rsidR="00B81F07" w:rsidRPr="00B21F6F">
        <w:rPr>
          <w:rFonts w:ascii="Arial" w:hAnsi="Arial"/>
          <w:b/>
          <w:color w:val="000000"/>
          <w:sz w:val="19"/>
          <w:szCs w:val="19"/>
          <w:lang w:val="en-GB"/>
        </w:rPr>
        <w:t>o</w:t>
      </w:r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k</w:t>
      </w:r>
      <w:r w:rsidR="00B81F07" w:rsidRPr="00B21F6F">
        <w:rPr>
          <w:rFonts w:ascii="Arial" w:hAnsi="Arial"/>
          <w:b/>
          <w:color w:val="000000"/>
          <w:sz w:val="19"/>
          <w:szCs w:val="19"/>
          <w:lang w:val="en-GB"/>
        </w:rPr>
        <w:t>en interaction</w:t>
      </w:r>
    </w:p>
    <w:p w:rsidR="00067615" w:rsidRPr="00B21F6F" w:rsidRDefault="00067615" w:rsidP="00D32486">
      <w:pPr>
        <w:pStyle w:val="FirstParagr10"/>
        <w:numPr>
          <w:ilvl w:val="0"/>
          <w:numId w:val="9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exchange, check and confirm information, deal with less routine situations and explain why something is a problem.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1</w:t>
      </w:r>
    </w:p>
    <w:p w:rsidR="00067615" w:rsidRPr="00B21F6F" w:rsidRDefault="00067615" w:rsidP="00D32486">
      <w:pPr>
        <w:numPr>
          <w:ilvl w:val="0"/>
          <w:numId w:val="9"/>
        </w:numPr>
        <w:rPr>
          <w:rFonts w:ascii="Arial" w:hAnsi="Arial"/>
          <w:sz w:val="19"/>
          <w:szCs w:val="19"/>
          <w:lang w:val="en-GB"/>
        </w:rPr>
      </w:pPr>
      <w:r w:rsidRPr="00B21F6F">
        <w:rPr>
          <w:rFonts w:ascii="Arial" w:hAnsi="Arial"/>
          <w:sz w:val="19"/>
          <w:szCs w:val="19"/>
          <w:lang w:val="en-GB"/>
        </w:rPr>
        <w:t xml:space="preserve">Can give or seek personal views and opinions in discussing topics of interest.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3</w:t>
      </w:r>
      <w:r w:rsidR="005A7BD7"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, Unit 6</w:t>
      </w:r>
    </w:p>
    <w:p w:rsidR="00067615" w:rsidRPr="00B21F6F" w:rsidRDefault="00067615" w:rsidP="00D32486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make his/her opinions and reactions understood as regards possible solutions or the question of what to do next, giving brief reasons and explanations.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4</w:t>
      </w:r>
    </w:p>
    <w:p w:rsidR="00067615" w:rsidRPr="00B21F6F" w:rsidRDefault="00067615" w:rsidP="00D32486">
      <w:pPr>
        <w:numPr>
          <w:ilvl w:val="0"/>
          <w:numId w:val="9"/>
        </w:numPr>
        <w:rPr>
          <w:rFonts w:ascii="Arial" w:hAnsi="Arial"/>
          <w:color w:val="000000"/>
          <w:sz w:val="19"/>
          <w:szCs w:val="19"/>
          <w:lang w:val="en-GB"/>
        </w:rPr>
      </w:pPr>
      <w:r w:rsidRPr="00B21F6F">
        <w:rPr>
          <w:rStyle w:val="ecxmsofootnotereference"/>
          <w:rFonts w:ascii="Arial" w:hAnsi="Arial"/>
          <w:iCs/>
          <w:spacing w:val="-2"/>
          <w:sz w:val="19"/>
          <w:szCs w:val="19"/>
          <w:lang w:val="en-GB"/>
        </w:rPr>
        <w:t xml:space="preserve">Can take part in routine formal discussion of familiar subjects which is conducted in clearly articulated speech in the standard dialect [...].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7</w:t>
      </w:r>
    </w:p>
    <w:p w:rsidR="002E3CF0" w:rsidRPr="00B21F6F" w:rsidRDefault="002E3CF0" w:rsidP="002E3CF0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81F07" w:rsidRPr="00B21F6F" w:rsidRDefault="00B81F07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Spoken production</w:t>
      </w:r>
    </w:p>
    <w:p w:rsidR="00AA5293" w:rsidRPr="00B21F6F" w:rsidRDefault="00AA5293" w:rsidP="00D32486">
      <w:pPr>
        <w:pStyle w:val="FirstParagr10"/>
        <w:numPr>
          <w:ilvl w:val="0"/>
          <w:numId w:val="10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Has enough language to get by, with sufficient vocabulary to express him/herself with some hesitation and circumlocutions on topics such as family, hobbies and interests, work, travel, and current events. (B1) – </w:t>
      </w:r>
      <w:r w:rsidRPr="00B21F6F">
        <w:rPr>
          <w:rFonts w:cs="PoloST11K-Leicht"/>
          <w:b/>
          <w:iCs w:val="0"/>
          <w:color w:val="000000"/>
          <w:sz w:val="19"/>
          <w:lang w:val="de-AT" w:bidi="ar-SA"/>
        </w:rPr>
        <w:t>Unit 2</w:t>
      </w:r>
    </w:p>
    <w:p w:rsidR="00A05C8D" w:rsidRPr="00B21F6F" w:rsidRDefault="00A05C8D" w:rsidP="00D32486">
      <w:pPr>
        <w:pStyle w:val="FirstParagr10"/>
        <w:numPr>
          <w:ilvl w:val="0"/>
          <w:numId w:val="10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>Can give or seek personal views and opinions in discussing topics of interes</w:t>
      </w:r>
      <w:r w:rsidR="005A0280" w:rsidRPr="00B21F6F">
        <w:rPr>
          <w:sz w:val="19"/>
          <w:lang w:val="en-GB"/>
        </w:rPr>
        <w:t>t</w:t>
      </w:r>
      <w:r w:rsidRPr="00B21F6F">
        <w:rPr>
          <w:sz w:val="19"/>
          <w:lang w:val="en-GB"/>
        </w:rPr>
        <w:t xml:space="preserve">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5</w:t>
      </w:r>
    </w:p>
    <w:p w:rsidR="00AA5293" w:rsidRPr="00B21F6F" w:rsidRDefault="00AA5293" w:rsidP="00D32486">
      <w:pPr>
        <w:pStyle w:val="FirstParagr10"/>
        <w:numPr>
          <w:ilvl w:val="0"/>
          <w:numId w:val="10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give a prepared straightforward presentation on a familiar topic within his/her field which is clear enough to be followed without difficulty most of the time, and in which the main points are explained with reasonable precision. (B1) – </w:t>
      </w:r>
      <w:r w:rsidRPr="00B21F6F">
        <w:rPr>
          <w:rFonts w:cs="PoloST11K-Leicht"/>
          <w:b/>
          <w:iCs w:val="0"/>
          <w:color w:val="000000"/>
          <w:sz w:val="19"/>
          <w:lang w:val="de-AT" w:bidi="ar-SA"/>
        </w:rPr>
        <w:t>Unit 8</w:t>
      </w:r>
    </w:p>
    <w:p w:rsidR="00AA5293" w:rsidRPr="00B21F6F" w:rsidRDefault="00AA5293" w:rsidP="00D32486">
      <w:pPr>
        <w:numPr>
          <w:ilvl w:val="0"/>
          <w:numId w:val="10"/>
        </w:numPr>
        <w:tabs>
          <w:tab w:val="right" w:pos="9356"/>
        </w:tabs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>Can give straightforward descriptions on a variety of familiar subjects within his</w:t>
      </w:r>
      <w:r w:rsidR="004457A3" w:rsidRPr="00B21F6F">
        <w:rPr>
          <w:rFonts w:ascii="Arial" w:hAnsi="Arial" w:cs="PoloST11K-Leicht"/>
          <w:color w:val="000000"/>
          <w:sz w:val="19"/>
          <w:szCs w:val="19"/>
          <w:lang w:val="en-GB"/>
        </w:rPr>
        <w:t>/her</w:t>
      </w: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 field of interest. (B1)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9</w:t>
      </w:r>
    </w:p>
    <w:p w:rsidR="00AA5293" w:rsidRPr="00B21F6F" w:rsidRDefault="00AA5293" w:rsidP="00D32486">
      <w:pPr>
        <w:pStyle w:val="FirstParagr10"/>
        <w:numPr>
          <w:ilvl w:val="0"/>
          <w:numId w:val="10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give clear, detailed descriptions and presentations on a wide range of subjects related to his/her field of interest, expanding and supporting ideas with subsidiary points and relevant examples. (B2) – </w:t>
      </w:r>
      <w:r w:rsidRPr="00B21F6F">
        <w:rPr>
          <w:rFonts w:cs="PoloST11K-Leicht"/>
          <w:b/>
          <w:iCs w:val="0"/>
          <w:color w:val="000000"/>
          <w:sz w:val="19"/>
          <w:lang w:val="de-AT" w:bidi="ar-SA"/>
        </w:rPr>
        <w:t>Unit 10</w:t>
      </w:r>
    </w:p>
    <w:p w:rsidR="00AA5293" w:rsidRPr="00B21F6F" w:rsidRDefault="00AA5293" w:rsidP="008C0DC1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D72A5E" w:rsidRPr="00B21F6F" w:rsidRDefault="00BB4FAB" w:rsidP="0007259E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B21F6F">
        <w:rPr>
          <w:rFonts w:ascii="Arial" w:hAnsi="Arial"/>
          <w:b/>
          <w:color w:val="000000"/>
          <w:sz w:val="19"/>
          <w:szCs w:val="19"/>
          <w:lang w:val="en-GB"/>
        </w:rPr>
        <w:t>Writing</w:t>
      </w:r>
    </w:p>
    <w:p w:rsidR="0024530A" w:rsidRPr="00B21F6F" w:rsidRDefault="0024530A" w:rsidP="00D32486">
      <w:pPr>
        <w:pStyle w:val="FirstParagr10"/>
        <w:numPr>
          <w:ilvl w:val="0"/>
          <w:numId w:val="11"/>
        </w:numPr>
        <w:jc w:val="left"/>
        <w:rPr>
          <w:iCs w:val="0"/>
          <w:sz w:val="19"/>
          <w:lang w:val="en-GB"/>
        </w:rPr>
      </w:pPr>
      <w:r w:rsidRPr="00B21F6F">
        <w:rPr>
          <w:sz w:val="19"/>
          <w:lang w:val="en-GB"/>
        </w:rPr>
        <w:t xml:space="preserve">Can produce simple connected text on topics which are familiar or of personal interest. (B1) – </w:t>
      </w:r>
      <w:r w:rsidRPr="00B21F6F">
        <w:rPr>
          <w:b/>
          <w:sz w:val="19"/>
          <w:lang w:val="en-GB"/>
        </w:rPr>
        <w:t>Unit 2</w:t>
      </w:r>
    </w:p>
    <w:p w:rsidR="00AA5293" w:rsidRPr="00B21F6F" w:rsidRDefault="00AA5293" w:rsidP="00D32486">
      <w:pPr>
        <w:pStyle w:val="FirstParagr10"/>
        <w:numPr>
          <w:ilvl w:val="0"/>
          <w:numId w:val="11"/>
        </w:numPr>
        <w:jc w:val="left"/>
        <w:rPr>
          <w:iCs w:val="0"/>
          <w:sz w:val="19"/>
          <w:lang w:val="en-GB"/>
        </w:rPr>
      </w:pPr>
      <w:r w:rsidRPr="00B21F6F">
        <w:rPr>
          <w:iCs w:val="0"/>
          <w:sz w:val="19"/>
          <w:lang w:val="en-GB"/>
        </w:rPr>
        <w:t xml:space="preserve">Can write very brief </w:t>
      </w:r>
      <w:r w:rsidR="004457A3" w:rsidRPr="00B21F6F">
        <w:rPr>
          <w:iCs w:val="0"/>
          <w:sz w:val="19"/>
          <w:lang w:val="en-GB"/>
        </w:rPr>
        <w:t>articles</w:t>
      </w:r>
      <w:r w:rsidRPr="00B21F6F">
        <w:rPr>
          <w:iCs w:val="0"/>
          <w:sz w:val="19"/>
          <w:lang w:val="en-GB"/>
        </w:rPr>
        <w:t xml:space="preserve"> to a standard conventionalised format, which pass on routine factual information and state reasons for actions.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3</w:t>
      </w:r>
    </w:p>
    <w:p w:rsidR="00AA5293" w:rsidRPr="00B21F6F" w:rsidRDefault="00AA5293" w:rsidP="00D32486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summarise, report and give his/her opinion about accumulated factual information on familiar routine and non-routine matters within his field with some confidence. (B1) – </w:t>
      </w:r>
      <w:r w:rsidRPr="00B21F6F">
        <w:rPr>
          <w:rFonts w:ascii="Arial" w:hAnsi="Arial" w:cs="PoloST11K-Leicht"/>
          <w:b/>
          <w:color w:val="000000"/>
          <w:sz w:val="19"/>
          <w:szCs w:val="19"/>
        </w:rPr>
        <w:t>Unit 4</w:t>
      </w:r>
      <w:r w:rsidR="000D581B" w:rsidRPr="00B21F6F">
        <w:rPr>
          <w:rFonts w:ascii="Arial" w:hAnsi="Arial" w:cs="PoloST11K-Leicht"/>
          <w:b/>
          <w:color w:val="000000"/>
          <w:sz w:val="19"/>
          <w:szCs w:val="19"/>
        </w:rPr>
        <w:t>, Unit 7</w:t>
      </w:r>
    </w:p>
    <w:p w:rsidR="00AA5293" w:rsidRPr="00B21F6F" w:rsidRDefault="00AA5293" w:rsidP="00D32486">
      <w:pPr>
        <w:numPr>
          <w:ilvl w:val="0"/>
          <w:numId w:val="11"/>
        </w:numPr>
        <w:tabs>
          <w:tab w:val="right" w:pos="9356"/>
        </w:tabs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write an essay or report which develops an argument, giving reasons in support of or against a particular point of view and explaining the advantages and disadvantages of various options. (B2) – </w:t>
      </w:r>
      <w:r w:rsidRPr="00B21F6F">
        <w:rPr>
          <w:rFonts w:ascii="Arial" w:hAnsi="Arial" w:cs="PoloST11K-Leicht"/>
          <w:b/>
          <w:color w:val="000000"/>
          <w:sz w:val="19"/>
          <w:szCs w:val="19"/>
        </w:rPr>
        <w:t>Unit 5</w:t>
      </w:r>
    </w:p>
    <w:p w:rsidR="00AA5293" w:rsidRPr="00B21F6F" w:rsidRDefault="00AA5293" w:rsidP="00D32486">
      <w:pPr>
        <w:pStyle w:val="FirstParagr10"/>
        <w:numPr>
          <w:ilvl w:val="0"/>
          <w:numId w:val="11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>Can express him/herself clearly and without much sign of having to</w:t>
      </w:r>
      <w:r w:rsidR="00F546AC" w:rsidRPr="00B21F6F">
        <w:rPr>
          <w:sz w:val="19"/>
          <w:lang w:val="en-GB"/>
        </w:rPr>
        <w:t xml:space="preserve"> </w:t>
      </w:r>
      <w:r w:rsidRPr="00B21F6F">
        <w:rPr>
          <w:sz w:val="19"/>
          <w:lang w:val="en-GB"/>
        </w:rPr>
        <w:t xml:space="preserve">restrict what he/she wants to say. (B2) – </w:t>
      </w:r>
      <w:r w:rsidRPr="00B21F6F">
        <w:rPr>
          <w:rFonts w:cs="PoloST11K-Leicht"/>
          <w:b/>
          <w:iCs w:val="0"/>
          <w:color w:val="000000"/>
          <w:sz w:val="19"/>
          <w:lang w:val="de-AT" w:bidi="ar-SA"/>
        </w:rPr>
        <w:t>Unit 8</w:t>
      </w:r>
    </w:p>
    <w:p w:rsidR="00AA5293" w:rsidRPr="00B21F6F" w:rsidRDefault="00AA5293" w:rsidP="00D32486">
      <w:pPr>
        <w:numPr>
          <w:ilvl w:val="0"/>
          <w:numId w:val="11"/>
        </w:numPr>
        <w:tabs>
          <w:tab w:val="right" w:pos="9356"/>
        </w:tabs>
        <w:autoSpaceDE w:val="0"/>
        <w:autoSpaceDN w:val="0"/>
        <w:adjustRightInd w:val="0"/>
        <w:rPr>
          <w:rFonts w:ascii="Arial" w:hAnsi="Arial" w:cs="PoloST11K-Leicht"/>
          <w:color w:val="000000"/>
          <w:sz w:val="19"/>
          <w:szCs w:val="19"/>
          <w:lang w:val="en-GB"/>
        </w:rPr>
      </w:pPr>
      <w:r w:rsidRPr="00B21F6F">
        <w:rPr>
          <w:rFonts w:ascii="Arial" w:hAnsi="Arial" w:cs="PoloST11K-Leicht"/>
          <w:color w:val="000000"/>
          <w:sz w:val="19"/>
          <w:szCs w:val="19"/>
          <w:lang w:val="en-GB"/>
        </w:rPr>
        <w:t xml:space="preserve">Can write a report giving reasons in support of or against a particular point of view and explaining the advantages and disadvantages of various options. (B2) – </w:t>
      </w:r>
      <w:r w:rsidRPr="00B21F6F">
        <w:rPr>
          <w:rFonts w:ascii="Arial" w:hAnsi="Arial" w:cs="PoloST11K-Leicht"/>
          <w:b/>
          <w:color w:val="000000"/>
          <w:sz w:val="19"/>
          <w:szCs w:val="19"/>
          <w:lang w:val="en-GB"/>
        </w:rPr>
        <w:t>Unit 9</w:t>
      </w:r>
    </w:p>
    <w:p w:rsidR="004C0C62" w:rsidRPr="00B21F6F" w:rsidRDefault="00AA5293" w:rsidP="00B21F6F">
      <w:pPr>
        <w:pStyle w:val="FirstParagr10"/>
        <w:numPr>
          <w:ilvl w:val="0"/>
          <w:numId w:val="11"/>
        </w:numPr>
        <w:jc w:val="left"/>
        <w:rPr>
          <w:sz w:val="19"/>
          <w:lang w:val="en-GB"/>
        </w:rPr>
      </w:pPr>
      <w:r w:rsidRPr="00B21F6F">
        <w:rPr>
          <w:sz w:val="19"/>
          <w:lang w:val="en-GB"/>
        </w:rPr>
        <w:t xml:space="preserve">Can convey information and ideas on abstract as well as concrete topics, check information and ask about or explain problems with reasonable precision. (B1) – </w:t>
      </w:r>
      <w:r w:rsidRPr="00B21F6F">
        <w:rPr>
          <w:rFonts w:cs="PoloST11K-Leicht"/>
          <w:b/>
          <w:iCs w:val="0"/>
          <w:color w:val="000000"/>
          <w:sz w:val="19"/>
          <w:lang w:val="en-GB" w:bidi="ar-SA"/>
        </w:rPr>
        <w:t>Unit 10</w:t>
      </w:r>
    </w:p>
    <w:sectPr w:rsidR="004C0C62" w:rsidRPr="00B21F6F" w:rsidSect="004C0C62">
      <w:footerReference w:type="default" r:id="rId8"/>
      <w:type w:val="continuous"/>
      <w:pgSz w:w="11906" w:h="16838" w:code="9"/>
      <w:pgMar w:top="1661" w:right="1304" w:bottom="1151" w:left="130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BB" w:rsidRDefault="001133BB">
      <w:r>
        <w:separator/>
      </w:r>
    </w:p>
  </w:endnote>
  <w:endnote w:type="continuationSeparator" w:id="0">
    <w:p w:rsidR="001133BB" w:rsidRDefault="0011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-Regular">
    <w:altName w:val="Utopia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loST11K-Leicht">
    <w:panose1 w:val="000B05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PoloST11K-Buch-Kursiv">
    <w:panose1 w:val="000B05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B2" w:rsidRPr="00823259" w:rsidRDefault="00267FB2" w:rsidP="00D32486">
    <w:pPr>
      <w:pBdr>
        <w:top w:val="single" w:sz="4" w:space="1" w:color="auto"/>
      </w:pBdr>
      <w:tabs>
        <w:tab w:val="left" w:pos="142"/>
      </w:tabs>
      <w:autoSpaceDE w:val="0"/>
      <w:autoSpaceDN w:val="0"/>
      <w:adjustRightInd w:val="0"/>
      <w:spacing w:before="60"/>
      <w:rPr>
        <w:rFonts w:ascii="Arial" w:hAnsi="Arial" w:cs="PoloST11K-Buch-Kursiv"/>
        <w:color w:val="000000"/>
        <w:sz w:val="15"/>
        <w:szCs w:val="15"/>
        <w:lang w:val="en-GB"/>
      </w:rPr>
    </w:pPr>
    <w:r w:rsidRPr="00823259">
      <w:rPr>
        <w:rFonts w:ascii="Arial" w:hAnsi="Arial" w:cs="PoloST11K-Buch-Kursiv"/>
        <w:color w:val="000000"/>
        <w:sz w:val="16"/>
        <w:szCs w:val="16"/>
        <w:lang w:val="en-GB"/>
      </w:rPr>
      <w:t>*</w:t>
    </w:r>
    <w:r w:rsidRPr="00823259">
      <w:rPr>
        <w:rFonts w:ascii="Arial" w:hAnsi="Arial" w:cs="PoloST11K-Buch-Kursiv"/>
        <w:color w:val="000000"/>
        <w:sz w:val="16"/>
        <w:szCs w:val="16"/>
        <w:lang w:val="en-GB"/>
      </w:rPr>
      <w:tab/>
    </w:r>
    <w:r w:rsidRPr="00823259">
      <w:rPr>
        <w:rFonts w:ascii="Arial" w:hAnsi="Arial" w:cs="PoloST11K-Buch-Kursiv"/>
        <w:color w:val="000000"/>
        <w:sz w:val="15"/>
        <w:szCs w:val="15"/>
        <w:lang w:val="en-GB"/>
      </w:rPr>
      <w:t>CEFR = Common European Framework of Reference for Languages</w:t>
    </w:r>
  </w:p>
  <w:p w:rsidR="00267FB2" w:rsidRPr="00823259" w:rsidRDefault="00267FB2" w:rsidP="00D32486">
    <w:pPr>
      <w:tabs>
        <w:tab w:val="left" w:pos="142"/>
      </w:tabs>
      <w:autoSpaceDE w:val="0"/>
      <w:autoSpaceDN w:val="0"/>
      <w:adjustRightInd w:val="0"/>
      <w:rPr>
        <w:rFonts w:ascii="Arial" w:hAnsi="Arial" w:cs="PoloST11K-Buch-Kursiv"/>
        <w:color w:val="000000"/>
        <w:sz w:val="15"/>
        <w:szCs w:val="15"/>
        <w:lang w:val="de-DE"/>
      </w:rPr>
    </w:pPr>
    <w:r w:rsidRPr="00823259">
      <w:rPr>
        <w:rFonts w:ascii="Arial" w:hAnsi="Arial" w:cs="PoloST11K-Buch-Kursiv"/>
        <w:color w:val="000000"/>
        <w:sz w:val="15"/>
        <w:szCs w:val="15"/>
        <w:lang w:val="en-GB"/>
      </w:rPr>
      <w:tab/>
    </w:r>
    <w:r w:rsidRPr="00823259">
      <w:rPr>
        <w:rFonts w:ascii="Arial" w:hAnsi="Arial" w:cs="PoloST11K-Buch-Kursiv"/>
        <w:color w:val="000000"/>
        <w:sz w:val="15"/>
        <w:szCs w:val="15"/>
        <w:lang w:val="de-DE"/>
      </w:rPr>
      <w:t>GERS = Gemeinsamer Europäischer Referenzrahmen für Sprachen</w:t>
    </w:r>
  </w:p>
  <w:p w:rsidR="00267FB2" w:rsidRPr="00823259" w:rsidRDefault="00267FB2" w:rsidP="00D32486">
    <w:pPr>
      <w:tabs>
        <w:tab w:val="left" w:pos="142"/>
      </w:tabs>
      <w:rPr>
        <w:rFonts w:ascii="Arial" w:hAnsi="Arial"/>
        <w:color w:val="000000"/>
        <w:sz w:val="15"/>
        <w:szCs w:val="15"/>
      </w:rPr>
    </w:pPr>
    <w:r w:rsidRPr="00823259">
      <w:rPr>
        <w:rFonts w:ascii="Arial" w:hAnsi="Arial"/>
        <w:sz w:val="15"/>
        <w:szCs w:val="15"/>
      </w:rPr>
      <w:tab/>
      <w:t>© http://www.coe.int/T/DG4/Portfolio/documents/All%20scales%20CEFR.DOC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BB" w:rsidRDefault="001133BB">
      <w:r>
        <w:separator/>
      </w:r>
    </w:p>
  </w:footnote>
  <w:footnote w:type="continuationSeparator" w:id="0">
    <w:p w:rsidR="001133BB" w:rsidRDefault="0011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05E"/>
    <w:multiLevelType w:val="hybridMultilevel"/>
    <w:tmpl w:val="F0D81794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08A7"/>
    <w:multiLevelType w:val="hybridMultilevel"/>
    <w:tmpl w:val="4886A4C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1B8B6794"/>
    <w:multiLevelType w:val="hybridMultilevel"/>
    <w:tmpl w:val="BD04F250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4CE2106"/>
    <w:multiLevelType w:val="hybridMultilevel"/>
    <w:tmpl w:val="5042432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335B59FD"/>
    <w:multiLevelType w:val="hybridMultilevel"/>
    <w:tmpl w:val="358E01F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30382"/>
    <w:multiLevelType w:val="hybridMultilevel"/>
    <w:tmpl w:val="63CE5C08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>
    <w:nsid w:val="5C685325"/>
    <w:multiLevelType w:val="hybridMultilevel"/>
    <w:tmpl w:val="CF4AC8A8"/>
    <w:lvl w:ilvl="0" w:tplc="EF3EE57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73594"/>
    <w:multiLevelType w:val="hybridMultilevel"/>
    <w:tmpl w:val="53CC4DE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5B7028"/>
    <w:multiLevelType w:val="hybridMultilevel"/>
    <w:tmpl w:val="DF2C50DC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F12BF7"/>
    <w:multiLevelType w:val="hybridMultilevel"/>
    <w:tmpl w:val="B0C6232E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75"/>
    <w:rsid w:val="00014C2E"/>
    <w:rsid w:val="00045E46"/>
    <w:rsid w:val="00046CBC"/>
    <w:rsid w:val="00067615"/>
    <w:rsid w:val="0007259E"/>
    <w:rsid w:val="000804A4"/>
    <w:rsid w:val="00093CCE"/>
    <w:rsid w:val="00097A91"/>
    <w:rsid w:val="000C3CB1"/>
    <w:rsid w:val="000C65F5"/>
    <w:rsid w:val="000C7E6C"/>
    <w:rsid w:val="000D581B"/>
    <w:rsid w:val="000D7D8A"/>
    <w:rsid w:val="000E238A"/>
    <w:rsid w:val="000E6215"/>
    <w:rsid w:val="000F5A92"/>
    <w:rsid w:val="000F6624"/>
    <w:rsid w:val="001133BB"/>
    <w:rsid w:val="00127153"/>
    <w:rsid w:val="00171FB6"/>
    <w:rsid w:val="00193AE8"/>
    <w:rsid w:val="00194201"/>
    <w:rsid w:val="001B0C4D"/>
    <w:rsid w:val="001D49D9"/>
    <w:rsid w:val="001E1409"/>
    <w:rsid w:val="00211934"/>
    <w:rsid w:val="00232702"/>
    <w:rsid w:val="00236D1E"/>
    <w:rsid w:val="0024530A"/>
    <w:rsid w:val="0025095C"/>
    <w:rsid w:val="0026264B"/>
    <w:rsid w:val="00267FB2"/>
    <w:rsid w:val="002711E5"/>
    <w:rsid w:val="00275475"/>
    <w:rsid w:val="0028419C"/>
    <w:rsid w:val="002A60AC"/>
    <w:rsid w:val="002B683D"/>
    <w:rsid w:val="002E3CF0"/>
    <w:rsid w:val="00307C75"/>
    <w:rsid w:val="00315A1B"/>
    <w:rsid w:val="003603D9"/>
    <w:rsid w:val="00373881"/>
    <w:rsid w:val="003B6AB9"/>
    <w:rsid w:val="003C10CE"/>
    <w:rsid w:val="003C63C2"/>
    <w:rsid w:val="003D60B6"/>
    <w:rsid w:val="003D786B"/>
    <w:rsid w:val="003E6121"/>
    <w:rsid w:val="003F4B54"/>
    <w:rsid w:val="00420525"/>
    <w:rsid w:val="00435A79"/>
    <w:rsid w:val="004457A3"/>
    <w:rsid w:val="00461D48"/>
    <w:rsid w:val="00475B8B"/>
    <w:rsid w:val="004A4CFC"/>
    <w:rsid w:val="004B2D66"/>
    <w:rsid w:val="004C0C62"/>
    <w:rsid w:val="004D2DA2"/>
    <w:rsid w:val="004D64FF"/>
    <w:rsid w:val="004F1528"/>
    <w:rsid w:val="005542DE"/>
    <w:rsid w:val="005757E4"/>
    <w:rsid w:val="00593077"/>
    <w:rsid w:val="005A0280"/>
    <w:rsid w:val="005A7BD7"/>
    <w:rsid w:val="005B3789"/>
    <w:rsid w:val="005D2D6E"/>
    <w:rsid w:val="005D599E"/>
    <w:rsid w:val="005D7F20"/>
    <w:rsid w:val="005E5273"/>
    <w:rsid w:val="005E599A"/>
    <w:rsid w:val="00625067"/>
    <w:rsid w:val="006302FE"/>
    <w:rsid w:val="0069670A"/>
    <w:rsid w:val="006B67C3"/>
    <w:rsid w:val="006D2F8E"/>
    <w:rsid w:val="006F27C4"/>
    <w:rsid w:val="006F6194"/>
    <w:rsid w:val="007128D8"/>
    <w:rsid w:val="00732B16"/>
    <w:rsid w:val="00740E29"/>
    <w:rsid w:val="00744BCC"/>
    <w:rsid w:val="00763BD4"/>
    <w:rsid w:val="00766B70"/>
    <w:rsid w:val="007B4E0B"/>
    <w:rsid w:val="007C04FD"/>
    <w:rsid w:val="007C4791"/>
    <w:rsid w:val="007E64EC"/>
    <w:rsid w:val="007E76F0"/>
    <w:rsid w:val="007F0108"/>
    <w:rsid w:val="007F2286"/>
    <w:rsid w:val="00823259"/>
    <w:rsid w:val="008576E0"/>
    <w:rsid w:val="00867E3A"/>
    <w:rsid w:val="00877C6F"/>
    <w:rsid w:val="008C0DC1"/>
    <w:rsid w:val="008C6DCC"/>
    <w:rsid w:val="008E5966"/>
    <w:rsid w:val="009567E3"/>
    <w:rsid w:val="0096792F"/>
    <w:rsid w:val="00973822"/>
    <w:rsid w:val="0098183C"/>
    <w:rsid w:val="009D70F1"/>
    <w:rsid w:val="00A05C8D"/>
    <w:rsid w:val="00A16E30"/>
    <w:rsid w:val="00A935FF"/>
    <w:rsid w:val="00A95E50"/>
    <w:rsid w:val="00A96D1D"/>
    <w:rsid w:val="00AA01A9"/>
    <w:rsid w:val="00AA5293"/>
    <w:rsid w:val="00AB28CF"/>
    <w:rsid w:val="00AB2B6E"/>
    <w:rsid w:val="00AB7FE8"/>
    <w:rsid w:val="00AD0A3F"/>
    <w:rsid w:val="00B15851"/>
    <w:rsid w:val="00B21F6F"/>
    <w:rsid w:val="00B3541C"/>
    <w:rsid w:val="00B6083A"/>
    <w:rsid w:val="00B66B92"/>
    <w:rsid w:val="00B81F07"/>
    <w:rsid w:val="00BA57A8"/>
    <w:rsid w:val="00BB4FAB"/>
    <w:rsid w:val="00BB76E7"/>
    <w:rsid w:val="00C11134"/>
    <w:rsid w:val="00C760E6"/>
    <w:rsid w:val="00C826B5"/>
    <w:rsid w:val="00C87A33"/>
    <w:rsid w:val="00CB0AB6"/>
    <w:rsid w:val="00CC1279"/>
    <w:rsid w:val="00CE2FE4"/>
    <w:rsid w:val="00D25E80"/>
    <w:rsid w:val="00D3200E"/>
    <w:rsid w:val="00D32486"/>
    <w:rsid w:val="00D33006"/>
    <w:rsid w:val="00D34515"/>
    <w:rsid w:val="00D43F3C"/>
    <w:rsid w:val="00D52775"/>
    <w:rsid w:val="00D639AB"/>
    <w:rsid w:val="00D64411"/>
    <w:rsid w:val="00D6539F"/>
    <w:rsid w:val="00D72A5E"/>
    <w:rsid w:val="00DA1217"/>
    <w:rsid w:val="00DC37C4"/>
    <w:rsid w:val="00DC66C6"/>
    <w:rsid w:val="00DD361B"/>
    <w:rsid w:val="00DD405A"/>
    <w:rsid w:val="00E11130"/>
    <w:rsid w:val="00E3199B"/>
    <w:rsid w:val="00E33A41"/>
    <w:rsid w:val="00E65BE5"/>
    <w:rsid w:val="00E86E74"/>
    <w:rsid w:val="00EA52EE"/>
    <w:rsid w:val="00EB69FD"/>
    <w:rsid w:val="00ED1BF3"/>
    <w:rsid w:val="00ED6570"/>
    <w:rsid w:val="00EE30D5"/>
    <w:rsid w:val="00EE31A3"/>
    <w:rsid w:val="00EE7C4C"/>
    <w:rsid w:val="00F0106F"/>
    <w:rsid w:val="00F17002"/>
    <w:rsid w:val="00F44552"/>
    <w:rsid w:val="00F520A2"/>
    <w:rsid w:val="00F546AC"/>
    <w:rsid w:val="00F76458"/>
    <w:rsid w:val="00F83029"/>
    <w:rsid w:val="00F91750"/>
    <w:rsid w:val="00FA4935"/>
    <w:rsid w:val="00FA7CD4"/>
    <w:rsid w:val="00FD4794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0F1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31A3"/>
    <w:rPr>
      <w:color w:val="0000FF"/>
      <w:u w:val="single"/>
    </w:rPr>
  </w:style>
  <w:style w:type="paragraph" w:customStyle="1" w:styleId="FirstParagr10">
    <w:name w:val="First Paragr 10"/>
    <w:basedOn w:val="Standard"/>
    <w:rsid w:val="00067615"/>
    <w:pPr>
      <w:tabs>
        <w:tab w:val="left" w:pos="2600"/>
      </w:tabs>
      <w:jc w:val="both"/>
    </w:pPr>
    <w:rPr>
      <w:rFonts w:ascii="Arial" w:hAnsi="Arial" w:cs="Utopia-Regular"/>
      <w:iCs/>
      <w:sz w:val="20"/>
      <w:szCs w:val="19"/>
      <w:lang w:val="de-DE" w:bidi="de-DE"/>
    </w:rPr>
  </w:style>
  <w:style w:type="paragraph" w:customStyle="1" w:styleId="FirstParagrBullets">
    <w:name w:val="First Paragr Bullets"/>
    <w:basedOn w:val="Standard"/>
    <w:rsid w:val="00067615"/>
    <w:pPr>
      <w:numPr>
        <w:numId w:val="6"/>
      </w:numPr>
      <w:tabs>
        <w:tab w:val="left" w:pos="2600"/>
      </w:tabs>
      <w:jc w:val="both"/>
    </w:pPr>
    <w:rPr>
      <w:rFonts w:ascii="Arial" w:hAnsi="Arial"/>
      <w:lang w:val="en-GB"/>
    </w:rPr>
  </w:style>
  <w:style w:type="character" w:styleId="Funotenzeichen">
    <w:name w:val="footnote reference"/>
    <w:rsid w:val="00067615"/>
    <w:rPr>
      <w:rFonts w:ascii="Arial" w:hAnsi="Arial"/>
      <w:noProof w:val="0"/>
      <w:position w:val="6"/>
      <w:sz w:val="16"/>
      <w:lang w:val="en-GB"/>
    </w:rPr>
  </w:style>
  <w:style w:type="character" w:customStyle="1" w:styleId="ecxmsofootnotereference">
    <w:name w:val="ecxmsofootnotereference"/>
    <w:basedOn w:val="Absatz-Standardschriftart"/>
    <w:rsid w:val="00067615"/>
  </w:style>
  <w:style w:type="paragraph" w:styleId="Kopfzeile">
    <w:name w:val="header"/>
    <w:basedOn w:val="Standard"/>
    <w:rsid w:val="00D324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248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4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</vt:lpstr>
    </vt:vector>
  </TitlesOfParts>
  <Company>oebvhpt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creator>sieber</dc:creator>
  <cp:lastModifiedBy>Sieber, Dr. Johanna</cp:lastModifiedBy>
  <cp:revision>4</cp:revision>
  <cp:lastPrinted>2017-08-30T12:41:00Z</cp:lastPrinted>
  <dcterms:created xsi:type="dcterms:W3CDTF">2017-08-30T12:27:00Z</dcterms:created>
  <dcterms:modified xsi:type="dcterms:W3CDTF">2017-08-30T12:41:00Z</dcterms:modified>
</cp:coreProperties>
</file>